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9A249" w14:textId="5D9C829E" w:rsidR="003964DF" w:rsidRPr="0056740B" w:rsidRDefault="003964DF" w:rsidP="00CC60C7">
      <w:pPr>
        <w:tabs>
          <w:tab w:val="left" w:pos="284"/>
        </w:tabs>
        <w:spacing w:after="0" w:line="360" w:lineRule="auto"/>
        <w:jc w:val="both"/>
        <w:rPr>
          <w:rFonts w:ascii="Tahoma" w:eastAsia="Times New Roman" w:hAnsi="Tahoma" w:cs="Tahoma"/>
          <w:b/>
          <w:sz w:val="20"/>
          <w:szCs w:val="20"/>
        </w:rPr>
      </w:pPr>
      <w:r w:rsidRPr="0056740B">
        <w:rPr>
          <w:rFonts w:ascii="Tahoma" w:eastAsia="Times New Roman" w:hAnsi="Tahoma" w:cs="Tahoma"/>
          <w:b/>
          <w:sz w:val="20"/>
          <w:szCs w:val="20"/>
        </w:rPr>
        <w:t xml:space="preserve">CONVENZIONE TRA LA COMUNITA’ MONTANA GENNARGENTU MANDROLISAI E IL COMUNE DI </w:t>
      </w:r>
      <w:r w:rsidR="008D0DA4">
        <w:rPr>
          <w:rFonts w:ascii="Tahoma" w:eastAsia="Times New Roman" w:hAnsi="Tahoma" w:cs="Tahoma"/>
          <w:b/>
          <w:sz w:val="20"/>
          <w:szCs w:val="20"/>
        </w:rPr>
        <w:t>ARITZO</w:t>
      </w:r>
      <w:r w:rsidR="006056F0" w:rsidRPr="0056740B">
        <w:rPr>
          <w:rFonts w:ascii="Tahoma" w:eastAsia="Times New Roman" w:hAnsi="Tahoma" w:cs="Tahoma"/>
          <w:b/>
          <w:sz w:val="20"/>
          <w:szCs w:val="20"/>
        </w:rPr>
        <w:t xml:space="preserve"> PER </w:t>
      </w:r>
      <w:r w:rsidR="00DD6EE3">
        <w:rPr>
          <w:rFonts w:ascii="Tahoma" w:eastAsia="Times New Roman" w:hAnsi="Tahoma" w:cs="Tahoma"/>
          <w:b/>
          <w:sz w:val="20"/>
          <w:szCs w:val="20"/>
        </w:rPr>
        <w:t>UTILIZZO PARZIALE PERSONALE</w:t>
      </w:r>
      <w:r w:rsidR="006056F0" w:rsidRPr="0056740B">
        <w:rPr>
          <w:rFonts w:ascii="Tahoma" w:eastAsia="Times New Roman" w:hAnsi="Tahoma" w:cs="Tahoma"/>
          <w:b/>
          <w:sz w:val="20"/>
          <w:szCs w:val="20"/>
        </w:rPr>
        <w:t xml:space="preserve"> </w:t>
      </w:r>
      <w:r w:rsidR="00DD6EE3">
        <w:rPr>
          <w:rFonts w:ascii="Tahoma" w:eastAsia="Times New Roman" w:hAnsi="Tahoma" w:cs="Tahoma"/>
          <w:b/>
          <w:sz w:val="20"/>
          <w:szCs w:val="20"/>
        </w:rPr>
        <w:t xml:space="preserve"> - </w:t>
      </w:r>
      <w:r w:rsidR="006056F0" w:rsidRPr="0056740B">
        <w:rPr>
          <w:rFonts w:ascii="Tahoma" w:eastAsia="Times New Roman" w:hAnsi="Tahoma" w:cs="Tahoma"/>
          <w:b/>
          <w:sz w:val="20"/>
          <w:szCs w:val="20"/>
        </w:rPr>
        <w:t>UFFICIO UNICO DI PROGETTO SNAI</w:t>
      </w:r>
    </w:p>
    <w:p w14:paraId="3BB5F30A" w14:textId="4E39A604" w:rsidR="003964DF" w:rsidRPr="0056740B" w:rsidRDefault="003964DF" w:rsidP="00CC60C7">
      <w:pPr>
        <w:tabs>
          <w:tab w:val="left" w:pos="284"/>
        </w:tabs>
        <w:spacing w:after="0" w:line="360" w:lineRule="auto"/>
        <w:jc w:val="both"/>
        <w:rPr>
          <w:rFonts w:ascii="Tahoma" w:eastAsia="Times New Roman" w:hAnsi="Tahoma" w:cs="Tahoma"/>
          <w:b/>
          <w:sz w:val="20"/>
          <w:szCs w:val="20"/>
        </w:rPr>
      </w:pPr>
    </w:p>
    <w:p w14:paraId="400763AA" w14:textId="29664C6D" w:rsidR="0054097A" w:rsidRPr="0056740B" w:rsidRDefault="003964DF" w:rsidP="00CC60C7">
      <w:pPr>
        <w:tabs>
          <w:tab w:val="left" w:pos="284"/>
        </w:tabs>
        <w:spacing w:after="0" w:line="360" w:lineRule="auto"/>
        <w:jc w:val="both"/>
        <w:rPr>
          <w:rFonts w:ascii="Tahoma" w:eastAsia="Times New Roman" w:hAnsi="Tahoma" w:cs="Tahoma"/>
          <w:bCs/>
          <w:sz w:val="20"/>
          <w:szCs w:val="20"/>
        </w:rPr>
      </w:pPr>
      <w:r w:rsidRPr="0056740B">
        <w:rPr>
          <w:rFonts w:ascii="Tahoma" w:eastAsia="Times New Roman" w:hAnsi="Tahoma" w:cs="Tahoma"/>
          <w:bCs/>
          <w:sz w:val="20"/>
          <w:szCs w:val="20"/>
        </w:rPr>
        <w:t xml:space="preserve">L’anno </w:t>
      </w:r>
      <w:r w:rsidR="00166E58" w:rsidRPr="0056740B">
        <w:rPr>
          <w:rFonts w:ascii="Tahoma" w:eastAsia="Times New Roman" w:hAnsi="Tahoma" w:cs="Tahoma"/>
          <w:bCs/>
          <w:sz w:val="20"/>
          <w:szCs w:val="20"/>
        </w:rPr>
        <w:t>2022</w:t>
      </w:r>
      <w:r w:rsidRPr="0056740B">
        <w:rPr>
          <w:rFonts w:ascii="Tahoma" w:eastAsia="Times New Roman" w:hAnsi="Tahoma" w:cs="Tahoma"/>
          <w:bCs/>
          <w:sz w:val="20"/>
          <w:szCs w:val="20"/>
        </w:rPr>
        <w:t xml:space="preserve"> il giorno </w:t>
      </w:r>
      <w:r w:rsidR="008D0DA4">
        <w:rPr>
          <w:rFonts w:ascii="Tahoma" w:eastAsia="Times New Roman" w:hAnsi="Tahoma" w:cs="Tahoma"/>
          <w:bCs/>
          <w:sz w:val="20"/>
          <w:szCs w:val="20"/>
        </w:rPr>
        <w:t>____</w:t>
      </w:r>
      <w:bookmarkStart w:id="0" w:name="_GoBack"/>
      <w:bookmarkEnd w:id="0"/>
      <w:r w:rsidRPr="0056740B">
        <w:rPr>
          <w:rFonts w:ascii="Tahoma" w:eastAsia="Times New Roman" w:hAnsi="Tahoma" w:cs="Tahoma"/>
          <w:bCs/>
          <w:sz w:val="20"/>
          <w:szCs w:val="20"/>
        </w:rPr>
        <w:t xml:space="preserve"> del mese di </w:t>
      </w:r>
      <w:r w:rsidR="008D0DA4">
        <w:rPr>
          <w:rFonts w:ascii="Tahoma" w:eastAsia="Times New Roman" w:hAnsi="Tahoma" w:cs="Tahoma"/>
          <w:bCs/>
          <w:sz w:val="20"/>
          <w:szCs w:val="20"/>
        </w:rPr>
        <w:t>NOVEM</w:t>
      </w:r>
      <w:r w:rsidR="00BD17AF" w:rsidRPr="0056740B">
        <w:rPr>
          <w:rFonts w:ascii="Tahoma" w:eastAsia="Times New Roman" w:hAnsi="Tahoma" w:cs="Tahoma"/>
          <w:bCs/>
          <w:sz w:val="20"/>
          <w:szCs w:val="20"/>
        </w:rPr>
        <w:t>BRE</w:t>
      </w:r>
      <w:r w:rsidRPr="0056740B">
        <w:rPr>
          <w:rFonts w:ascii="Tahoma" w:eastAsia="Times New Roman" w:hAnsi="Tahoma" w:cs="Tahoma"/>
          <w:bCs/>
          <w:sz w:val="20"/>
          <w:szCs w:val="20"/>
        </w:rPr>
        <w:t xml:space="preserve"> presso la sede della Comunità Montana Gennargentu </w:t>
      </w:r>
      <w:proofErr w:type="spellStart"/>
      <w:r w:rsidRPr="0056740B">
        <w:rPr>
          <w:rFonts w:ascii="Tahoma" w:eastAsia="Times New Roman" w:hAnsi="Tahoma" w:cs="Tahoma"/>
          <w:bCs/>
          <w:sz w:val="20"/>
          <w:szCs w:val="20"/>
        </w:rPr>
        <w:t>Mandrolisai</w:t>
      </w:r>
      <w:proofErr w:type="spellEnd"/>
      <w:r w:rsidRPr="0056740B">
        <w:rPr>
          <w:rFonts w:ascii="Tahoma" w:eastAsia="Times New Roman" w:hAnsi="Tahoma" w:cs="Tahoma"/>
          <w:bCs/>
          <w:sz w:val="20"/>
          <w:szCs w:val="20"/>
        </w:rPr>
        <w:t xml:space="preserve">, Via Bulgaria </w:t>
      </w:r>
      <w:proofErr w:type="spellStart"/>
      <w:r w:rsidRPr="0056740B">
        <w:rPr>
          <w:rFonts w:ascii="Tahoma" w:eastAsia="Times New Roman" w:hAnsi="Tahoma" w:cs="Tahoma"/>
          <w:bCs/>
          <w:sz w:val="20"/>
          <w:szCs w:val="20"/>
        </w:rPr>
        <w:t>sn</w:t>
      </w:r>
      <w:proofErr w:type="spellEnd"/>
      <w:r w:rsidRPr="0056740B">
        <w:rPr>
          <w:rFonts w:ascii="Tahoma" w:eastAsia="Times New Roman" w:hAnsi="Tahoma" w:cs="Tahoma"/>
          <w:bCs/>
          <w:sz w:val="20"/>
          <w:szCs w:val="20"/>
        </w:rPr>
        <w:t xml:space="preserve">, 08038 </w:t>
      </w:r>
      <w:r w:rsidR="0054097A" w:rsidRPr="0056740B">
        <w:rPr>
          <w:rFonts w:ascii="Tahoma" w:eastAsia="Times New Roman" w:hAnsi="Tahoma" w:cs="Tahoma"/>
          <w:bCs/>
          <w:sz w:val="20"/>
          <w:szCs w:val="20"/>
        </w:rPr>
        <w:t>–</w:t>
      </w:r>
      <w:r w:rsidRPr="0056740B">
        <w:rPr>
          <w:rFonts w:ascii="Tahoma" w:eastAsia="Times New Roman" w:hAnsi="Tahoma" w:cs="Tahoma"/>
          <w:bCs/>
          <w:sz w:val="20"/>
          <w:szCs w:val="20"/>
        </w:rPr>
        <w:t xml:space="preserve"> Sorgono</w:t>
      </w:r>
      <w:r w:rsidR="0054097A" w:rsidRPr="0056740B">
        <w:rPr>
          <w:rFonts w:ascii="Tahoma" w:eastAsia="Times New Roman" w:hAnsi="Tahoma" w:cs="Tahoma"/>
          <w:bCs/>
          <w:sz w:val="20"/>
          <w:szCs w:val="20"/>
        </w:rPr>
        <w:t xml:space="preserve"> </w:t>
      </w:r>
      <w:r w:rsidRPr="0056740B">
        <w:rPr>
          <w:rFonts w:ascii="Tahoma" w:eastAsia="Times New Roman" w:hAnsi="Tahoma" w:cs="Tahoma"/>
          <w:bCs/>
          <w:sz w:val="20"/>
          <w:szCs w:val="20"/>
        </w:rPr>
        <w:t>(NU)</w:t>
      </w:r>
      <w:r w:rsidR="0054097A" w:rsidRPr="0056740B">
        <w:rPr>
          <w:rFonts w:ascii="Tahoma" w:eastAsia="Times New Roman" w:hAnsi="Tahoma" w:cs="Tahoma"/>
          <w:bCs/>
          <w:sz w:val="20"/>
          <w:szCs w:val="20"/>
        </w:rPr>
        <w:t xml:space="preserve"> </w:t>
      </w:r>
      <w:r w:rsidRPr="0056740B">
        <w:rPr>
          <w:rFonts w:ascii="Tahoma" w:eastAsia="Times New Roman" w:hAnsi="Tahoma" w:cs="Tahoma"/>
          <w:bCs/>
          <w:sz w:val="20"/>
          <w:szCs w:val="20"/>
        </w:rPr>
        <w:t xml:space="preserve">viene sottoscritta la presente Convenzione ai sensi dell’art. 30 del </w:t>
      </w:r>
      <w:proofErr w:type="spellStart"/>
      <w:r w:rsidRPr="0056740B">
        <w:rPr>
          <w:rFonts w:ascii="Tahoma" w:eastAsia="Times New Roman" w:hAnsi="Tahoma" w:cs="Tahoma"/>
          <w:bCs/>
          <w:sz w:val="20"/>
          <w:szCs w:val="20"/>
        </w:rPr>
        <w:t>D.Lgs.</w:t>
      </w:r>
      <w:proofErr w:type="spellEnd"/>
      <w:r w:rsidRPr="0056740B">
        <w:rPr>
          <w:rFonts w:ascii="Tahoma" w:eastAsia="Times New Roman" w:hAnsi="Tahoma" w:cs="Tahoma"/>
          <w:bCs/>
          <w:sz w:val="20"/>
          <w:szCs w:val="20"/>
        </w:rPr>
        <w:t xml:space="preserve"> n. 267/2000, tra</w:t>
      </w:r>
      <w:r w:rsidR="0054097A" w:rsidRPr="0056740B">
        <w:rPr>
          <w:rFonts w:ascii="Tahoma" w:eastAsia="Times New Roman" w:hAnsi="Tahoma" w:cs="Tahoma"/>
          <w:bCs/>
          <w:sz w:val="20"/>
          <w:szCs w:val="20"/>
        </w:rPr>
        <w:t>:</w:t>
      </w:r>
    </w:p>
    <w:p w14:paraId="70E5FA01" w14:textId="0E537024" w:rsidR="0054097A" w:rsidRPr="0056740B" w:rsidRDefault="0054097A" w:rsidP="00CC60C7">
      <w:pPr>
        <w:pStyle w:val="Paragrafoelenco"/>
        <w:numPr>
          <w:ilvl w:val="0"/>
          <w:numId w:val="2"/>
        </w:numPr>
        <w:tabs>
          <w:tab w:val="left" w:pos="284"/>
        </w:tabs>
        <w:spacing w:after="0" w:line="360" w:lineRule="auto"/>
        <w:rPr>
          <w:rFonts w:ascii="Tahoma" w:eastAsia="Times New Roman" w:hAnsi="Tahoma" w:cs="Tahoma"/>
          <w:bCs/>
          <w:sz w:val="20"/>
          <w:szCs w:val="20"/>
        </w:rPr>
      </w:pPr>
      <w:r w:rsidRPr="0056740B">
        <w:rPr>
          <w:rFonts w:ascii="Tahoma" w:eastAsia="Times New Roman" w:hAnsi="Tahoma" w:cs="Tahoma"/>
          <w:bCs/>
          <w:sz w:val="20"/>
          <w:szCs w:val="20"/>
        </w:rPr>
        <w:t xml:space="preserve">la Comunità Montana Gennargentu </w:t>
      </w:r>
      <w:proofErr w:type="spellStart"/>
      <w:r w:rsidRPr="0056740B">
        <w:rPr>
          <w:rFonts w:ascii="Tahoma" w:eastAsia="Times New Roman" w:hAnsi="Tahoma" w:cs="Tahoma"/>
          <w:bCs/>
          <w:sz w:val="20"/>
          <w:szCs w:val="20"/>
        </w:rPr>
        <w:t>Mandrolisai</w:t>
      </w:r>
      <w:proofErr w:type="spellEnd"/>
      <w:r w:rsidRPr="0056740B">
        <w:rPr>
          <w:rFonts w:ascii="Tahoma" w:eastAsia="Times New Roman" w:hAnsi="Tahoma" w:cs="Tahoma"/>
          <w:bCs/>
          <w:sz w:val="20"/>
          <w:szCs w:val="20"/>
        </w:rPr>
        <w:t xml:space="preserve">, con sede in via Bulgaria </w:t>
      </w:r>
      <w:proofErr w:type="spellStart"/>
      <w:r w:rsidRPr="0056740B">
        <w:rPr>
          <w:rFonts w:ascii="Tahoma" w:eastAsia="Times New Roman" w:hAnsi="Tahoma" w:cs="Tahoma"/>
          <w:bCs/>
          <w:sz w:val="20"/>
          <w:szCs w:val="20"/>
        </w:rPr>
        <w:t>sn</w:t>
      </w:r>
      <w:proofErr w:type="spellEnd"/>
      <w:r w:rsidRPr="0056740B">
        <w:rPr>
          <w:rFonts w:ascii="Tahoma" w:eastAsia="Times New Roman" w:hAnsi="Tahoma" w:cs="Tahoma"/>
          <w:bCs/>
          <w:sz w:val="20"/>
          <w:szCs w:val="20"/>
        </w:rPr>
        <w:t xml:space="preserve">, 08038 - </w:t>
      </w:r>
      <w:r w:rsidR="009F0B83" w:rsidRPr="0056740B">
        <w:rPr>
          <w:rFonts w:ascii="Tahoma" w:eastAsia="Times New Roman" w:hAnsi="Tahoma" w:cs="Tahoma"/>
          <w:bCs/>
          <w:sz w:val="20"/>
          <w:szCs w:val="20"/>
        </w:rPr>
        <w:t>Sorgono (</w:t>
      </w:r>
      <w:r w:rsidRPr="0056740B">
        <w:rPr>
          <w:rFonts w:ascii="Tahoma" w:eastAsia="Times New Roman" w:hAnsi="Tahoma" w:cs="Tahoma"/>
          <w:bCs/>
          <w:sz w:val="20"/>
          <w:szCs w:val="20"/>
        </w:rPr>
        <w:t xml:space="preserve">NU), rappresentato da Alessandro Corona, nato a </w:t>
      </w:r>
      <w:r w:rsidR="00166E58" w:rsidRPr="0056740B">
        <w:rPr>
          <w:rFonts w:ascii="Tahoma" w:eastAsia="Times New Roman" w:hAnsi="Tahoma" w:cs="Tahoma"/>
          <w:bCs/>
          <w:sz w:val="20"/>
          <w:szCs w:val="20"/>
        </w:rPr>
        <w:t>Sorgono (NU)</w:t>
      </w:r>
      <w:r w:rsidRPr="0056740B">
        <w:rPr>
          <w:rFonts w:ascii="Tahoma" w:eastAsia="Times New Roman" w:hAnsi="Tahoma" w:cs="Tahoma"/>
          <w:bCs/>
          <w:sz w:val="20"/>
          <w:szCs w:val="20"/>
        </w:rPr>
        <w:t xml:space="preserve">, il </w:t>
      </w:r>
      <w:r w:rsidR="00166E58" w:rsidRPr="0056740B">
        <w:rPr>
          <w:rFonts w:ascii="Tahoma" w:eastAsia="Times New Roman" w:hAnsi="Tahoma" w:cs="Tahoma"/>
          <w:bCs/>
          <w:sz w:val="20"/>
          <w:szCs w:val="20"/>
        </w:rPr>
        <w:t xml:space="preserve">12/04/1974 </w:t>
      </w:r>
      <w:r w:rsidRPr="0056740B">
        <w:rPr>
          <w:rFonts w:ascii="Tahoma" w:eastAsia="Times New Roman" w:hAnsi="Tahoma" w:cs="Tahoma"/>
          <w:bCs/>
          <w:sz w:val="20"/>
          <w:szCs w:val="20"/>
        </w:rPr>
        <w:t xml:space="preserve">in qualità di Presidente; </w:t>
      </w:r>
    </w:p>
    <w:p w14:paraId="407C156E" w14:textId="420F9937" w:rsidR="0054097A" w:rsidRPr="0056740B" w:rsidRDefault="0054097A" w:rsidP="00CC60C7">
      <w:pPr>
        <w:pStyle w:val="Paragrafoelenco"/>
        <w:numPr>
          <w:ilvl w:val="0"/>
          <w:numId w:val="2"/>
        </w:numPr>
        <w:tabs>
          <w:tab w:val="left" w:pos="284"/>
        </w:tabs>
        <w:spacing w:after="0" w:line="360" w:lineRule="auto"/>
        <w:rPr>
          <w:rFonts w:ascii="Tahoma" w:eastAsia="Times New Roman" w:hAnsi="Tahoma" w:cs="Tahoma"/>
          <w:bCs/>
          <w:sz w:val="20"/>
          <w:szCs w:val="20"/>
        </w:rPr>
      </w:pPr>
      <w:r w:rsidRPr="0056740B">
        <w:rPr>
          <w:rFonts w:ascii="Tahoma" w:eastAsia="Times New Roman" w:hAnsi="Tahoma" w:cs="Tahoma"/>
          <w:bCs/>
          <w:sz w:val="20"/>
          <w:szCs w:val="20"/>
        </w:rPr>
        <w:t xml:space="preserve">il Comune di </w:t>
      </w:r>
      <w:r w:rsidR="008D0DA4">
        <w:rPr>
          <w:rFonts w:ascii="Tahoma" w:eastAsia="Times New Roman" w:hAnsi="Tahoma" w:cs="Tahoma"/>
          <w:bCs/>
          <w:sz w:val="20"/>
          <w:szCs w:val="20"/>
        </w:rPr>
        <w:t>Aritzo</w:t>
      </w:r>
      <w:r w:rsidRPr="0056740B">
        <w:rPr>
          <w:rFonts w:ascii="Tahoma" w:eastAsia="Times New Roman" w:hAnsi="Tahoma" w:cs="Tahoma"/>
          <w:bCs/>
          <w:sz w:val="20"/>
          <w:szCs w:val="20"/>
        </w:rPr>
        <w:t xml:space="preserve">, con sede in </w:t>
      </w:r>
      <w:r w:rsidR="008D0DA4">
        <w:rPr>
          <w:rFonts w:ascii="Tahoma" w:eastAsia="Times New Roman" w:hAnsi="Tahoma" w:cs="Tahoma"/>
          <w:bCs/>
          <w:sz w:val="20"/>
          <w:szCs w:val="20"/>
        </w:rPr>
        <w:t>Aritzo</w:t>
      </w:r>
      <w:r w:rsidR="009F0B83" w:rsidRPr="0056740B">
        <w:rPr>
          <w:rFonts w:ascii="Tahoma" w:eastAsia="Times New Roman" w:hAnsi="Tahoma" w:cs="Tahoma"/>
          <w:bCs/>
          <w:sz w:val="20"/>
          <w:szCs w:val="20"/>
        </w:rPr>
        <w:t xml:space="preserve"> rappresentato da </w:t>
      </w:r>
      <w:r w:rsidR="008D0DA4">
        <w:rPr>
          <w:rFonts w:ascii="Tahoma" w:eastAsia="Times New Roman" w:hAnsi="Tahoma" w:cs="Tahoma"/>
          <w:bCs/>
          <w:sz w:val="20"/>
          <w:szCs w:val="20"/>
        </w:rPr>
        <w:t>Fontana Paolo</w:t>
      </w:r>
      <w:r w:rsidR="009F0B83" w:rsidRPr="0056740B">
        <w:rPr>
          <w:rFonts w:ascii="Tahoma" w:eastAsia="Times New Roman" w:hAnsi="Tahoma" w:cs="Tahoma"/>
          <w:bCs/>
          <w:sz w:val="20"/>
          <w:szCs w:val="20"/>
        </w:rPr>
        <w:t xml:space="preserve">, nato a </w:t>
      </w:r>
      <w:proofErr w:type="spellStart"/>
      <w:r w:rsidR="00BD17AF" w:rsidRPr="0056740B">
        <w:rPr>
          <w:rFonts w:ascii="Tahoma" w:eastAsia="Times New Roman" w:hAnsi="Tahoma" w:cs="Tahoma"/>
          <w:bCs/>
          <w:sz w:val="20"/>
          <w:szCs w:val="20"/>
        </w:rPr>
        <w:t>xxxxx</w:t>
      </w:r>
      <w:proofErr w:type="spellEnd"/>
      <w:r w:rsidR="009F0B83" w:rsidRPr="0056740B">
        <w:rPr>
          <w:rFonts w:ascii="Tahoma" w:eastAsia="Times New Roman" w:hAnsi="Tahoma" w:cs="Tahoma"/>
          <w:bCs/>
          <w:sz w:val="20"/>
          <w:szCs w:val="20"/>
        </w:rPr>
        <w:t xml:space="preserve"> </w:t>
      </w:r>
      <w:r w:rsidR="00BD17AF" w:rsidRPr="0056740B">
        <w:rPr>
          <w:rFonts w:ascii="Tahoma" w:eastAsia="Times New Roman" w:hAnsi="Tahoma" w:cs="Tahoma"/>
          <w:bCs/>
          <w:sz w:val="20"/>
          <w:szCs w:val="20"/>
        </w:rPr>
        <w:t xml:space="preserve">il </w:t>
      </w:r>
      <w:proofErr w:type="spellStart"/>
      <w:r w:rsidR="00BD17AF" w:rsidRPr="0056740B">
        <w:rPr>
          <w:rFonts w:ascii="Tahoma" w:eastAsia="Times New Roman" w:hAnsi="Tahoma" w:cs="Tahoma"/>
          <w:bCs/>
          <w:sz w:val="20"/>
          <w:szCs w:val="20"/>
        </w:rPr>
        <w:t>xxxxxxx</w:t>
      </w:r>
      <w:proofErr w:type="spellEnd"/>
      <w:r w:rsidR="009F0B83" w:rsidRPr="0056740B">
        <w:rPr>
          <w:rFonts w:ascii="Tahoma" w:eastAsia="Times New Roman" w:hAnsi="Tahoma" w:cs="Tahoma"/>
          <w:bCs/>
          <w:sz w:val="20"/>
          <w:szCs w:val="20"/>
        </w:rPr>
        <w:t>, in qualità di Sindaco.</w:t>
      </w:r>
    </w:p>
    <w:p w14:paraId="64FCA7FF" w14:textId="0463FDC4" w:rsidR="009F0B83" w:rsidRPr="0056740B" w:rsidRDefault="009F0B83" w:rsidP="00CC60C7">
      <w:pPr>
        <w:tabs>
          <w:tab w:val="left" w:pos="284"/>
        </w:tabs>
        <w:spacing w:after="0" w:line="360" w:lineRule="auto"/>
        <w:rPr>
          <w:rFonts w:ascii="Tahoma" w:eastAsia="Times New Roman" w:hAnsi="Tahoma" w:cs="Tahoma"/>
          <w:bCs/>
          <w:sz w:val="20"/>
          <w:szCs w:val="20"/>
        </w:rPr>
      </w:pPr>
    </w:p>
    <w:p w14:paraId="0B0AEF65" w14:textId="78371260" w:rsidR="00B36FA6" w:rsidRPr="0056740B" w:rsidRDefault="00B36FA6" w:rsidP="00CC60C7">
      <w:pPr>
        <w:tabs>
          <w:tab w:val="left" w:pos="284"/>
        </w:tabs>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PREMESSO:</w:t>
      </w:r>
    </w:p>
    <w:p w14:paraId="5C9A6C0E" w14:textId="77777777"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che con la Delibera di Giunta Regionale n. 6/13 del 10/02/2015, "Sperimentazione della Strategia nazionale per le Aree Interne. Individuazione e selezione aree interne della Sardegna, presa d'atto del "Rapporto di Istruttoria per la Selezione delle Aree Interne" del CTAI-DPS e individuazione Area Prototipo Sardegna", si individua quale area di sperimentazione il Gennargentu-</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rappresentata dalla Comunità Montana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composta dai Comuni di Aritzo, Atzara, Austis, Belvì, Desulo, Gadoni, Meana Sardo, Ortueri, Sorgono, Teti e Tonara;</w:t>
      </w:r>
    </w:p>
    <w:p w14:paraId="2B30422F" w14:textId="77777777"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xml:space="preserve">- che la Delibera di Giunta Regionale n. 8/44 del 19/02/2019, “Sperimentazione della Strategia Nazionale per le Aree Interne (SNAI). Strategia d'Area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ha provveduto tra gli altri ad approvare il documento di Strategia d'Area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comprensivo del quadro finanziario, dello Schema Risultati Attesi Indicatori di Risultato e delle Schede Intervento, e lo schema di Protocollo di Intesa per l'attuazione della Strategia d'Area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dando mandato al Presidente della Regione per la sua sottoscrizione;</w:t>
      </w:r>
    </w:p>
    <w:p w14:paraId="7567CA88" w14:textId="77777777"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xml:space="preserve">- che il Protocollo di Intesa tra la Regione Autonoma della Sardegna e la Comunità Montana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sottoscritto dalle parti digitalmente in data 22 febbraio 2019, ha provveduto, ai sensi del Punto 2.3 della delibera CIPE n. 9/2015, a definire i rapporti tra la Regione Autonoma della Sardegna e la Comunità Montana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per l’attuazione del progetto d’Area Interna;</w:t>
      </w:r>
    </w:p>
    <w:p w14:paraId="29D1ABDC" w14:textId="77777777"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xml:space="preserve">- che la Delibera di Giunta Regionale n. 12/8 del 01/04/2021 "Sperimentazione della Strategia Nazionale per le Aree Interne (SNAI). Accordo di Programma Quadro Regione Autonoma della Sardegna - “Area Interna –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Variazione fonte finanziaria interventi in capo alla Regione Sardegna. Indirizzi per l’attuazione. Sistema di Gestione e Controllo (</w:t>
      </w:r>
      <w:proofErr w:type="spellStart"/>
      <w:r w:rsidRPr="0056740B">
        <w:rPr>
          <w:rFonts w:ascii="Tahoma" w:hAnsi="Tahoma" w:cs="Tahoma"/>
          <w:bCs/>
          <w:sz w:val="20"/>
          <w:szCs w:val="20"/>
        </w:rPr>
        <w:t>Si.Ge.Co</w:t>
      </w:r>
      <w:proofErr w:type="spellEnd"/>
      <w:r w:rsidRPr="0056740B">
        <w:rPr>
          <w:rFonts w:ascii="Tahoma" w:hAnsi="Tahoma" w:cs="Tahoma"/>
          <w:bCs/>
          <w:sz w:val="20"/>
          <w:szCs w:val="20"/>
        </w:rPr>
        <w:t xml:space="preserve">.) per l’utilizzo delle risorse della Legge di Stabilità e Allegati.", ha provveduto tra gli altri ad approvare il </w:t>
      </w:r>
      <w:proofErr w:type="spellStart"/>
      <w:r w:rsidRPr="0056740B">
        <w:rPr>
          <w:rFonts w:ascii="Tahoma" w:hAnsi="Tahoma" w:cs="Tahoma"/>
          <w:bCs/>
          <w:sz w:val="20"/>
          <w:szCs w:val="20"/>
        </w:rPr>
        <w:t>Si.Ge.Co</w:t>
      </w:r>
      <w:proofErr w:type="spellEnd"/>
      <w:r w:rsidRPr="0056740B">
        <w:rPr>
          <w:rFonts w:ascii="Tahoma" w:hAnsi="Tahoma" w:cs="Tahoma"/>
          <w:bCs/>
          <w:sz w:val="20"/>
          <w:szCs w:val="20"/>
        </w:rPr>
        <w:t>. e i suoi Allegati in ordine agli interventi finanziati con Legge di Stabilità Nazionale;</w:t>
      </w:r>
    </w:p>
    <w:p w14:paraId="6BBAD27D" w14:textId="77777777"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xml:space="preserve">- che la Delibera di Giunta Regionale n. 23/59 del 22/06/2021 "Sperimentazione della Strategia Nazionale per le Aree Interne (SNAI). Strategia d'Area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Definizione fonte finanziaria interventi in capo alla Regione Sardegna. Indirizzi per la sottoscrizione dell'Accordo di Programma Quadro” ha provveduto ad approvare la definizione della fonte finanziaria degli interventi previsti in APQ in capo alla Regione Sardegna, riprogrammandoli su Fondi Regionali e prevedendo la possibilità di attivare anche la </w:t>
      </w:r>
      <w:r w:rsidRPr="0056740B">
        <w:rPr>
          <w:rFonts w:ascii="Tahoma" w:hAnsi="Tahoma" w:cs="Tahoma"/>
          <w:bCs/>
          <w:sz w:val="20"/>
          <w:szCs w:val="20"/>
        </w:rPr>
        <w:lastRenderedPageBreak/>
        <w:t>copertura finanziaria del Piano di Sviluppo e Coesione (PSC), e gli indirizzi per l’attuazione della Deliberazione medesima;</w:t>
      </w:r>
    </w:p>
    <w:p w14:paraId="7929EEC2" w14:textId="77777777"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xml:space="preserve">- che la Delibera di Giunta Regionale n. 24/2 del 25.6.2021, “Sperimentazione della Strategia Nazionale per le Aree Interne (SNAI) - Strategia d'Area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Schema di Accordo di Programma Quadro e allegati e autorizzazione alla sottoscrizione”, ha provveduto ad approvare lo schema di “Accordo di programma quadro Regione Autonoma della Sardegna “Area Interna -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autorizzando il Vice Direttore del Centro Regionale di Programmazione, nonché RUA e responsabile dell'attuazione della Strategia d'Area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tra gli altri per la sottoscrizione della Convenzione Attuativa e per l'avvio degli interventi immediatamente cantierabili con risorse regionali;</w:t>
      </w:r>
    </w:p>
    <w:p w14:paraId="58B9714D" w14:textId="77777777"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xml:space="preserve">- della stipula dell’“Accordo di programma quadro Regione Autonoma della Sardegna “Area Interna –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tra Comunità Montana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Regione Autonoma della Sardegna, Agenzia per la Coesione Territoriale, Ministero dell’Istruzione, Ministero delle Infrastrutture e della Mobilità Sostenibili, Ministero delle Politiche Agricole Alimentari e Forestali, Ministero della Salute, Agenzia Nazionale per le Politiche Attive del Lavoro, di cui al protocollo </w:t>
      </w:r>
      <w:proofErr w:type="spellStart"/>
      <w:r w:rsidRPr="0056740B">
        <w:rPr>
          <w:rFonts w:ascii="Tahoma" w:hAnsi="Tahoma" w:cs="Tahoma"/>
          <w:bCs/>
          <w:sz w:val="20"/>
          <w:szCs w:val="20"/>
        </w:rPr>
        <w:t>AlCT</w:t>
      </w:r>
      <w:proofErr w:type="spellEnd"/>
      <w:r w:rsidRPr="0056740B">
        <w:rPr>
          <w:rFonts w:ascii="Tahoma" w:hAnsi="Tahoma" w:cs="Tahoma"/>
          <w:bCs/>
          <w:sz w:val="20"/>
          <w:szCs w:val="20"/>
        </w:rPr>
        <w:t xml:space="preserve"> – </w:t>
      </w:r>
      <w:proofErr w:type="spellStart"/>
      <w:r w:rsidRPr="0056740B">
        <w:rPr>
          <w:rFonts w:ascii="Tahoma" w:hAnsi="Tahoma" w:cs="Tahoma"/>
          <w:bCs/>
          <w:sz w:val="20"/>
          <w:szCs w:val="20"/>
        </w:rPr>
        <w:t>AlCT</w:t>
      </w:r>
      <w:proofErr w:type="spellEnd"/>
      <w:r w:rsidRPr="0056740B">
        <w:rPr>
          <w:rFonts w:ascii="Tahoma" w:hAnsi="Tahoma" w:cs="Tahoma"/>
          <w:bCs/>
          <w:sz w:val="20"/>
          <w:szCs w:val="20"/>
        </w:rPr>
        <w:t xml:space="preserve"> nr: 4048 del 24/02/2022 acquisito con prot. n. 1333 del 25/02/2022;</w:t>
      </w:r>
    </w:p>
    <w:p w14:paraId="5D3C754E" w14:textId="77777777"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xml:space="preserve">- che con la Delibera n. 12/25 del 7 aprile 2022 la Giunta Regionale prende atto della sottoscrizione dell’Accordo di Programma Quadro Regione Autonoma della Sardegna - “AREA INTERNA – GENNARGENTU MANDROLISAI”, dando mandato al Centro Regionale di Programmazione, in persona del RUA (Responsabile Unico dell’Attuazione dell’Accordo di Programma Quadro) e responsabile dell'attuazione della Strategia d'Area Gennargentu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per la sottoscrizione della convenzione attuativa, per l'avvio degli interventi immediatamente cantierabili con risorse regionali;</w:t>
      </w:r>
    </w:p>
    <w:p w14:paraId="736D2579" w14:textId="7B0040C8" w:rsidR="00F26981" w:rsidRPr="0056740B" w:rsidRDefault="00F26981" w:rsidP="00CC60C7">
      <w:pPr>
        <w:spacing w:after="0" w:line="360" w:lineRule="auto"/>
        <w:jc w:val="both"/>
        <w:rPr>
          <w:rFonts w:ascii="Tahoma" w:hAnsi="Tahoma" w:cs="Tahoma"/>
          <w:bCs/>
          <w:sz w:val="20"/>
          <w:szCs w:val="20"/>
        </w:rPr>
      </w:pPr>
      <w:r w:rsidRPr="0056740B">
        <w:rPr>
          <w:rFonts w:ascii="Tahoma" w:hAnsi="Tahoma" w:cs="Tahoma"/>
          <w:bCs/>
          <w:sz w:val="20"/>
          <w:szCs w:val="20"/>
        </w:rPr>
        <w:t>- che in vista della definizione in ambito nazionale della nuova governance della SNAI per il ciclo 2021-2027 si ravvisa l’opportunità, condivisa con il territorio, di sperimentare l’esperienza proficuamente maturata nell’ambito della Strategia Regionale delle Aree Interne in tema di Ufficio Unico di Progetto, quale gruppo tecnico di coordinamento formato da personale tecnico-amministrativo e coordinato dal Referente Tecnico del Progetto al quale compete la responsabilità gestionale e l’attuazione degli interventi previsti nell’Accordo di programma quadro;</w:t>
      </w:r>
    </w:p>
    <w:p w14:paraId="632579BF" w14:textId="6871E317" w:rsidR="00CC60C7" w:rsidRPr="0056740B" w:rsidRDefault="00CC60C7" w:rsidP="00CC60C7">
      <w:pPr>
        <w:spacing w:after="0" w:line="360" w:lineRule="auto"/>
        <w:jc w:val="both"/>
        <w:rPr>
          <w:rFonts w:ascii="Tahoma" w:hAnsi="Tahoma" w:cs="Tahoma"/>
          <w:bCs/>
          <w:sz w:val="20"/>
          <w:szCs w:val="20"/>
        </w:rPr>
      </w:pPr>
      <w:r w:rsidRPr="0056740B">
        <w:rPr>
          <w:rFonts w:ascii="Tahoma" w:hAnsi="Tahoma" w:cs="Tahoma"/>
          <w:bCs/>
          <w:sz w:val="20"/>
          <w:szCs w:val="20"/>
        </w:rPr>
        <w:t>VISTA la Deliberazione della Giunta Esecutiva n.</w:t>
      </w:r>
      <w:r w:rsidR="006A3251" w:rsidRPr="0056740B">
        <w:rPr>
          <w:rFonts w:ascii="Tahoma" w:hAnsi="Tahoma" w:cs="Tahoma"/>
          <w:bCs/>
          <w:sz w:val="20"/>
          <w:szCs w:val="20"/>
        </w:rPr>
        <w:t>58</w:t>
      </w:r>
      <w:r w:rsidRPr="0056740B">
        <w:rPr>
          <w:rFonts w:ascii="Tahoma" w:hAnsi="Tahoma" w:cs="Tahoma"/>
          <w:bCs/>
          <w:sz w:val="20"/>
          <w:szCs w:val="20"/>
        </w:rPr>
        <w:t xml:space="preserve"> del 2</w:t>
      </w:r>
      <w:r w:rsidR="006A3251" w:rsidRPr="0056740B">
        <w:rPr>
          <w:rFonts w:ascii="Tahoma" w:hAnsi="Tahoma" w:cs="Tahoma"/>
          <w:bCs/>
          <w:sz w:val="20"/>
          <w:szCs w:val="20"/>
        </w:rPr>
        <w:t>8</w:t>
      </w:r>
      <w:r w:rsidRPr="0056740B">
        <w:rPr>
          <w:rFonts w:ascii="Tahoma" w:hAnsi="Tahoma" w:cs="Tahoma"/>
          <w:bCs/>
          <w:sz w:val="20"/>
          <w:szCs w:val="20"/>
        </w:rPr>
        <w:t>/0</w:t>
      </w:r>
      <w:r w:rsidR="006A3251" w:rsidRPr="0056740B">
        <w:rPr>
          <w:rFonts w:ascii="Tahoma" w:hAnsi="Tahoma" w:cs="Tahoma"/>
          <w:bCs/>
          <w:sz w:val="20"/>
          <w:szCs w:val="20"/>
        </w:rPr>
        <w:t>9</w:t>
      </w:r>
      <w:r w:rsidRPr="0056740B">
        <w:rPr>
          <w:rFonts w:ascii="Tahoma" w:hAnsi="Tahoma" w:cs="Tahoma"/>
          <w:bCs/>
          <w:sz w:val="20"/>
          <w:szCs w:val="20"/>
        </w:rPr>
        <w:t>/2022 con la quale è stato costituito l’Ufficio Unico di Progetto composto nel seguente modo:</w:t>
      </w:r>
    </w:p>
    <w:p w14:paraId="065795F5" w14:textId="6B75B788" w:rsidR="00CC60C7" w:rsidRPr="0056740B" w:rsidRDefault="00CC60C7" w:rsidP="008D0DA4">
      <w:pPr>
        <w:spacing w:after="0" w:line="360" w:lineRule="auto"/>
        <w:ind w:left="709" w:hanging="709"/>
        <w:jc w:val="both"/>
        <w:rPr>
          <w:rFonts w:ascii="Tahoma" w:hAnsi="Tahoma" w:cs="Tahoma"/>
          <w:bCs/>
          <w:sz w:val="20"/>
          <w:szCs w:val="20"/>
        </w:rPr>
      </w:pPr>
      <w:r w:rsidRPr="0056740B">
        <w:rPr>
          <w:rFonts w:ascii="Tahoma" w:hAnsi="Tahoma" w:cs="Tahoma"/>
          <w:bCs/>
          <w:sz w:val="20"/>
          <w:szCs w:val="20"/>
        </w:rPr>
        <w:t>-</w:t>
      </w:r>
      <w:r w:rsidRPr="0056740B">
        <w:rPr>
          <w:rFonts w:ascii="Tahoma" w:hAnsi="Tahoma" w:cs="Tahoma"/>
          <w:bCs/>
          <w:sz w:val="20"/>
          <w:szCs w:val="20"/>
        </w:rPr>
        <w:tab/>
        <w:t xml:space="preserve">Dott. Ing. Laura Deiana, istruttore direttivo tecnico della Comunità Montana Gennargentu </w:t>
      </w:r>
      <w:r w:rsidR="008D0DA4">
        <w:rPr>
          <w:rFonts w:ascii="Tahoma" w:hAnsi="Tahoma" w:cs="Tahoma"/>
          <w:bCs/>
          <w:sz w:val="20"/>
          <w:szCs w:val="20"/>
        </w:rPr>
        <w:t xml:space="preserve">  </w:t>
      </w:r>
      <w:proofErr w:type="spellStart"/>
      <w:r w:rsidRPr="0056740B">
        <w:rPr>
          <w:rFonts w:ascii="Tahoma" w:hAnsi="Tahoma" w:cs="Tahoma"/>
          <w:bCs/>
          <w:sz w:val="20"/>
          <w:szCs w:val="20"/>
        </w:rPr>
        <w:t>Mandrolisai</w:t>
      </w:r>
      <w:proofErr w:type="spellEnd"/>
      <w:r w:rsidRPr="0056740B">
        <w:rPr>
          <w:rFonts w:ascii="Tahoma" w:hAnsi="Tahoma" w:cs="Tahoma"/>
          <w:bCs/>
          <w:sz w:val="20"/>
          <w:szCs w:val="20"/>
        </w:rPr>
        <w:t xml:space="preserve"> e Referente Tecnico dell’Ufficio Unico di Progetto;</w:t>
      </w:r>
    </w:p>
    <w:p w14:paraId="69209644" w14:textId="77777777" w:rsidR="00CC60C7" w:rsidRPr="0056740B" w:rsidRDefault="00CC60C7" w:rsidP="00CC60C7">
      <w:pPr>
        <w:spacing w:after="0" w:line="360" w:lineRule="auto"/>
        <w:jc w:val="both"/>
        <w:rPr>
          <w:rFonts w:ascii="Tahoma" w:hAnsi="Tahoma" w:cs="Tahoma"/>
          <w:bCs/>
          <w:sz w:val="20"/>
          <w:szCs w:val="20"/>
        </w:rPr>
      </w:pPr>
      <w:r w:rsidRPr="0056740B">
        <w:rPr>
          <w:rFonts w:ascii="Tahoma" w:hAnsi="Tahoma" w:cs="Tahoma"/>
          <w:bCs/>
          <w:sz w:val="20"/>
          <w:szCs w:val="20"/>
        </w:rPr>
        <w:t>-</w:t>
      </w:r>
      <w:r w:rsidRPr="0056740B">
        <w:rPr>
          <w:rFonts w:ascii="Tahoma" w:hAnsi="Tahoma" w:cs="Tahoma"/>
          <w:bCs/>
          <w:sz w:val="20"/>
          <w:szCs w:val="20"/>
        </w:rPr>
        <w:tab/>
        <w:t>Dott. Ing. Silvia Bassu, istruttore direttivo tecnico del Comune di Teti;</w:t>
      </w:r>
    </w:p>
    <w:p w14:paraId="2231ACBC" w14:textId="77777777" w:rsidR="00CC60C7" w:rsidRPr="0056740B" w:rsidRDefault="00CC60C7" w:rsidP="00CC60C7">
      <w:pPr>
        <w:spacing w:after="0" w:line="360" w:lineRule="auto"/>
        <w:jc w:val="both"/>
        <w:rPr>
          <w:rFonts w:ascii="Tahoma" w:hAnsi="Tahoma" w:cs="Tahoma"/>
          <w:bCs/>
          <w:sz w:val="20"/>
          <w:szCs w:val="20"/>
        </w:rPr>
      </w:pPr>
      <w:r w:rsidRPr="0056740B">
        <w:rPr>
          <w:rFonts w:ascii="Tahoma" w:hAnsi="Tahoma" w:cs="Tahoma"/>
          <w:bCs/>
          <w:sz w:val="20"/>
          <w:szCs w:val="20"/>
        </w:rPr>
        <w:t>-</w:t>
      </w:r>
      <w:r w:rsidRPr="0056740B">
        <w:rPr>
          <w:rFonts w:ascii="Tahoma" w:hAnsi="Tahoma" w:cs="Tahoma"/>
          <w:bCs/>
          <w:sz w:val="20"/>
          <w:szCs w:val="20"/>
        </w:rPr>
        <w:tab/>
        <w:t>Dott.ssa Giuseppina Olmi, istruttore direttivo contabile del Comune di Aritzo;</w:t>
      </w:r>
    </w:p>
    <w:p w14:paraId="5081F25E" w14:textId="66BC6FB4" w:rsidR="00CC60C7" w:rsidRPr="0056740B" w:rsidRDefault="00CC60C7" w:rsidP="00CC60C7">
      <w:pPr>
        <w:spacing w:after="0" w:line="360" w:lineRule="auto"/>
        <w:jc w:val="both"/>
        <w:rPr>
          <w:rFonts w:ascii="Tahoma" w:hAnsi="Tahoma" w:cs="Tahoma"/>
          <w:bCs/>
          <w:sz w:val="20"/>
          <w:szCs w:val="20"/>
        </w:rPr>
      </w:pPr>
      <w:r w:rsidRPr="0056740B">
        <w:rPr>
          <w:rFonts w:ascii="Tahoma" w:hAnsi="Tahoma" w:cs="Tahoma"/>
          <w:bCs/>
          <w:sz w:val="20"/>
          <w:szCs w:val="20"/>
        </w:rPr>
        <w:t>-</w:t>
      </w:r>
      <w:r w:rsidRPr="0056740B">
        <w:rPr>
          <w:rFonts w:ascii="Tahoma" w:hAnsi="Tahoma" w:cs="Tahoma"/>
          <w:bCs/>
          <w:sz w:val="20"/>
          <w:szCs w:val="20"/>
        </w:rPr>
        <w:tab/>
        <w:t>Dott.ssa Ambra Ilaria Cincotti – istruttore assegnato dall’Agenzia della Coesione Territoriale;</w:t>
      </w:r>
    </w:p>
    <w:p w14:paraId="53C24166" w14:textId="2C6A6555" w:rsidR="00CC60C7" w:rsidRDefault="0056740B" w:rsidP="00CC60C7">
      <w:pPr>
        <w:spacing w:after="0" w:line="360" w:lineRule="auto"/>
        <w:jc w:val="both"/>
        <w:rPr>
          <w:rFonts w:ascii="Tahoma" w:hAnsi="Tahoma" w:cs="Tahoma"/>
          <w:bCs/>
          <w:sz w:val="20"/>
          <w:szCs w:val="20"/>
        </w:rPr>
      </w:pPr>
      <w:r w:rsidRPr="0056740B">
        <w:rPr>
          <w:rFonts w:ascii="Tahoma" w:hAnsi="Tahoma" w:cs="Tahoma"/>
          <w:bCs/>
          <w:sz w:val="20"/>
          <w:szCs w:val="20"/>
        </w:rPr>
        <w:t>DATO ATTO che con la medesima deliberazione si è dato mandato al Referente Unico</w:t>
      </w:r>
      <w:r>
        <w:rPr>
          <w:rFonts w:ascii="Tahoma" w:hAnsi="Tahoma" w:cs="Tahoma"/>
          <w:bCs/>
          <w:sz w:val="20"/>
          <w:szCs w:val="20"/>
        </w:rPr>
        <w:t xml:space="preserve"> di redigere apposita convenzione che regoli la partecipazione dei dipendenti </w:t>
      </w:r>
      <w:r w:rsidR="002833ED">
        <w:rPr>
          <w:rFonts w:ascii="Tahoma" w:hAnsi="Tahoma" w:cs="Tahoma"/>
          <w:bCs/>
          <w:sz w:val="20"/>
          <w:szCs w:val="20"/>
        </w:rPr>
        <w:t>di altri comuni;</w:t>
      </w:r>
    </w:p>
    <w:p w14:paraId="08BE26E7" w14:textId="77777777" w:rsidR="002833ED" w:rsidRPr="0056740B" w:rsidRDefault="002833ED" w:rsidP="00CC60C7">
      <w:pPr>
        <w:spacing w:after="0" w:line="360" w:lineRule="auto"/>
        <w:jc w:val="both"/>
        <w:rPr>
          <w:rFonts w:ascii="Tahoma" w:hAnsi="Tahoma" w:cs="Tahoma"/>
          <w:bCs/>
          <w:sz w:val="20"/>
          <w:szCs w:val="20"/>
        </w:rPr>
      </w:pPr>
    </w:p>
    <w:p w14:paraId="29328C6C" w14:textId="659A778E" w:rsidR="00492D31" w:rsidRPr="0056740B" w:rsidRDefault="00492D31" w:rsidP="00CC60C7">
      <w:pPr>
        <w:pStyle w:val="Paragrafoelenco"/>
        <w:widowControl w:val="0"/>
        <w:spacing w:after="0" w:line="360" w:lineRule="auto"/>
        <w:rPr>
          <w:rFonts w:ascii="Tahoma" w:eastAsia="Times New Roman" w:hAnsi="Tahoma" w:cs="Tahoma"/>
          <w:sz w:val="20"/>
          <w:szCs w:val="20"/>
        </w:rPr>
      </w:pPr>
    </w:p>
    <w:p w14:paraId="19DEE99A" w14:textId="77777777" w:rsidR="00804294" w:rsidRPr="0056740B" w:rsidRDefault="00804294" w:rsidP="00CC60C7">
      <w:pPr>
        <w:pStyle w:val="Paragrafoelenco"/>
        <w:widowControl w:val="0"/>
        <w:spacing w:after="0" w:line="360" w:lineRule="auto"/>
        <w:rPr>
          <w:rFonts w:ascii="Tahoma" w:eastAsia="Times New Roman" w:hAnsi="Tahoma" w:cs="Tahoma"/>
          <w:sz w:val="20"/>
          <w:szCs w:val="20"/>
        </w:rPr>
      </w:pPr>
    </w:p>
    <w:p w14:paraId="6CF84681" w14:textId="573AD92C" w:rsidR="00492D31" w:rsidRPr="0056740B" w:rsidRDefault="00492D31" w:rsidP="00CC60C7">
      <w:pPr>
        <w:widowControl w:val="0"/>
        <w:spacing w:after="0" w:line="360" w:lineRule="auto"/>
        <w:jc w:val="center"/>
        <w:rPr>
          <w:rFonts w:ascii="Tahoma" w:eastAsia="Times New Roman" w:hAnsi="Tahoma" w:cs="Tahoma"/>
          <w:b/>
          <w:bCs/>
          <w:sz w:val="20"/>
          <w:szCs w:val="20"/>
        </w:rPr>
      </w:pPr>
      <w:r w:rsidRPr="0056740B">
        <w:rPr>
          <w:rFonts w:ascii="Tahoma" w:eastAsia="Times New Roman" w:hAnsi="Tahoma" w:cs="Tahoma"/>
          <w:b/>
          <w:bCs/>
          <w:sz w:val="20"/>
          <w:szCs w:val="20"/>
        </w:rPr>
        <w:lastRenderedPageBreak/>
        <w:t>Tutto ciò premesso si conviene e si stipula quanto segue:</w:t>
      </w:r>
    </w:p>
    <w:p w14:paraId="3FBDE44B" w14:textId="77777777" w:rsidR="00492D31" w:rsidRPr="0056740B" w:rsidRDefault="00492D31" w:rsidP="00CC60C7">
      <w:pPr>
        <w:widowControl w:val="0"/>
        <w:spacing w:after="0" w:line="360" w:lineRule="auto"/>
        <w:jc w:val="center"/>
        <w:rPr>
          <w:rFonts w:ascii="Tahoma" w:eastAsia="Times New Roman" w:hAnsi="Tahoma" w:cs="Tahoma"/>
          <w:b/>
          <w:bCs/>
          <w:sz w:val="20"/>
          <w:szCs w:val="20"/>
        </w:rPr>
      </w:pPr>
    </w:p>
    <w:p w14:paraId="0000000B" w14:textId="77777777" w:rsidR="00B8793A" w:rsidRPr="0056740B" w:rsidRDefault="00B126C5"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Art. 1</w:t>
      </w:r>
    </w:p>
    <w:p w14:paraId="0000000C" w14:textId="69639B94" w:rsidR="00B8793A" w:rsidRPr="0056740B" w:rsidRDefault="00B126C5"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Premesse</w:t>
      </w:r>
    </w:p>
    <w:p w14:paraId="2D547AB9" w14:textId="77777777" w:rsidR="004C2CBE" w:rsidRPr="0056740B" w:rsidRDefault="004C2CBE" w:rsidP="00CC60C7">
      <w:pPr>
        <w:spacing w:after="0" w:line="360" w:lineRule="auto"/>
        <w:jc w:val="center"/>
        <w:rPr>
          <w:rFonts w:ascii="Tahoma" w:eastAsia="Times New Roman" w:hAnsi="Tahoma" w:cs="Tahoma"/>
          <w:b/>
          <w:sz w:val="20"/>
          <w:szCs w:val="20"/>
        </w:rPr>
      </w:pPr>
    </w:p>
    <w:p w14:paraId="0000000D" w14:textId="77777777" w:rsidR="00B8793A" w:rsidRPr="0056740B" w:rsidRDefault="00B126C5" w:rsidP="00CC60C7">
      <w:pPr>
        <w:spacing w:after="0" w:line="360" w:lineRule="auto"/>
        <w:jc w:val="both"/>
        <w:rPr>
          <w:rFonts w:ascii="Tahoma" w:eastAsia="Times New Roman" w:hAnsi="Tahoma" w:cs="Tahoma"/>
          <w:sz w:val="20"/>
          <w:szCs w:val="20"/>
        </w:rPr>
      </w:pPr>
      <w:r w:rsidRPr="0056740B">
        <w:rPr>
          <w:rFonts w:ascii="Tahoma" w:eastAsia="Times New Roman" w:hAnsi="Tahoma" w:cs="Tahoma"/>
          <w:sz w:val="20"/>
          <w:szCs w:val="20"/>
        </w:rPr>
        <w:t>Le premesse formano parte integrante e sostanziale della presente Convenzione e costituiscono il presupposto su cui si fonda il consenso delle parti.</w:t>
      </w:r>
    </w:p>
    <w:p w14:paraId="0000000E" w14:textId="77777777" w:rsidR="00B8793A" w:rsidRPr="0056740B" w:rsidRDefault="00B126C5"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Art. 2</w:t>
      </w:r>
    </w:p>
    <w:p w14:paraId="0000000F" w14:textId="041D3E9E" w:rsidR="00B8793A" w:rsidRPr="0056740B" w:rsidRDefault="00C6410A"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Oggetto</w:t>
      </w:r>
    </w:p>
    <w:p w14:paraId="353688D8" w14:textId="77777777" w:rsidR="008B025E" w:rsidRPr="0056740B" w:rsidRDefault="008B025E" w:rsidP="00520733">
      <w:pPr>
        <w:spacing w:after="0" w:line="360" w:lineRule="auto"/>
        <w:jc w:val="both"/>
        <w:rPr>
          <w:rFonts w:ascii="Tahoma" w:eastAsia="Times New Roman" w:hAnsi="Tahoma" w:cs="Tahoma"/>
          <w:b/>
          <w:sz w:val="20"/>
          <w:szCs w:val="20"/>
        </w:rPr>
      </w:pPr>
    </w:p>
    <w:p w14:paraId="42D09786" w14:textId="015EDB52" w:rsidR="00520733" w:rsidRDefault="00094109" w:rsidP="00520733">
      <w:pPr>
        <w:tabs>
          <w:tab w:val="left" w:pos="284"/>
        </w:tabs>
        <w:spacing w:after="0" w:line="360" w:lineRule="auto"/>
        <w:jc w:val="both"/>
        <w:rPr>
          <w:rFonts w:ascii="Tahoma" w:eastAsia="Times New Roman" w:hAnsi="Tahoma" w:cs="Tahoma"/>
          <w:sz w:val="20"/>
          <w:szCs w:val="20"/>
        </w:rPr>
      </w:pPr>
      <w:r>
        <w:rPr>
          <w:rFonts w:ascii="Tahoma" w:eastAsia="Times New Roman" w:hAnsi="Tahoma" w:cs="Tahoma"/>
          <w:sz w:val="20"/>
          <w:szCs w:val="20"/>
        </w:rPr>
        <w:t xml:space="preserve">2.1 </w:t>
      </w:r>
      <w:r w:rsidR="00520733" w:rsidRPr="00520733">
        <w:rPr>
          <w:rFonts w:ascii="Tahoma" w:eastAsia="Times New Roman" w:hAnsi="Tahoma" w:cs="Tahoma"/>
          <w:sz w:val="20"/>
          <w:szCs w:val="20"/>
        </w:rPr>
        <w:t xml:space="preserve">La presente convenzione ha per oggetto e disciplina l’utilizzo parziale di personale del Comune di </w:t>
      </w:r>
      <w:r w:rsidR="008D0DA4">
        <w:rPr>
          <w:rFonts w:ascii="Tahoma" w:eastAsia="Times New Roman" w:hAnsi="Tahoma" w:cs="Tahoma"/>
          <w:sz w:val="20"/>
          <w:szCs w:val="20"/>
        </w:rPr>
        <w:t xml:space="preserve">Aritzo </w:t>
      </w:r>
      <w:r w:rsidR="00520733" w:rsidRPr="00520733">
        <w:rPr>
          <w:rFonts w:ascii="Tahoma" w:eastAsia="Times New Roman" w:hAnsi="Tahoma" w:cs="Tahoma"/>
          <w:sz w:val="20"/>
          <w:szCs w:val="20"/>
        </w:rPr>
        <w:t xml:space="preserve">da parte della Comunità Montana Gennargentu </w:t>
      </w:r>
      <w:proofErr w:type="spellStart"/>
      <w:r w:rsidR="00520733" w:rsidRPr="00520733">
        <w:rPr>
          <w:rFonts w:ascii="Tahoma" w:eastAsia="Times New Roman" w:hAnsi="Tahoma" w:cs="Tahoma"/>
          <w:sz w:val="20"/>
          <w:szCs w:val="20"/>
        </w:rPr>
        <w:t>Mandrolisai</w:t>
      </w:r>
      <w:proofErr w:type="spellEnd"/>
      <w:r w:rsidR="00520733" w:rsidRPr="00520733">
        <w:rPr>
          <w:rFonts w:ascii="Tahoma" w:eastAsia="Times New Roman" w:hAnsi="Tahoma" w:cs="Tahoma"/>
          <w:sz w:val="20"/>
          <w:szCs w:val="20"/>
        </w:rPr>
        <w:t>, per un periodo di tempo limitato e</w:t>
      </w:r>
      <w:r w:rsidR="00520733">
        <w:rPr>
          <w:rFonts w:ascii="Tahoma" w:eastAsia="Times New Roman" w:hAnsi="Tahoma" w:cs="Tahoma"/>
          <w:sz w:val="20"/>
          <w:szCs w:val="20"/>
        </w:rPr>
        <w:t xml:space="preserve"> </w:t>
      </w:r>
      <w:r w:rsidR="00520733" w:rsidRPr="00520733">
        <w:rPr>
          <w:rFonts w:ascii="Tahoma" w:eastAsia="Times New Roman" w:hAnsi="Tahoma" w:cs="Tahoma"/>
          <w:sz w:val="20"/>
          <w:szCs w:val="20"/>
        </w:rPr>
        <w:t>predeterminato, per una parte del tempo di lavoro d’obbligo, durante l’orario di lavoro dell’Ente di appartenenza compatibilmente con le esigenze dell’Ente di appartenenza, comunque prioritarie.</w:t>
      </w:r>
    </w:p>
    <w:p w14:paraId="318147C7" w14:textId="1992128E" w:rsidR="00520733" w:rsidRDefault="00520733" w:rsidP="00520733">
      <w:pPr>
        <w:tabs>
          <w:tab w:val="left" w:pos="284"/>
        </w:tabs>
        <w:spacing w:after="0" w:line="360" w:lineRule="auto"/>
        <w:jc w:val="both"/>
        <w:rPr>
          <w:rFonts w:ascii="Tahoma" w:eastAsia="Times New Roman" w:hAnsi="Tahoma" w:cs="Tahoma"/>
          <w:sz w:val="20"/>
          <w:szCs w:val="20"/>
        </w:rPr>
      </w:pPr>
      <w:r>
        <w:rPr>
          <w:rFonts w:ascii="Tahoma" w:eastAsia="Times New Roman" w:hAnsi="Tahoma" w:cs="Tahoma"/>
          <w:sz w:val="20"/>
          <w:szCs w:val="20"/>
        </w:rPr>
        <w:t xml:space="preserve">La finalità consiste nella partecipazione del personale richiesto alle attività dell’Ufficio Unico di Progetto per l’attuazione della S.N.A.I. Gennargentu </w:t>
      </w:r>
      <w:proofErr w:type="spellStart"/>
      <w:r>
        <w:rPr>
          <w:rFonts w:ascii="Tahoma" w:eastAsia="Times New Roman" w:hAnsi="Tahoma" w:cs="Tahoma"/>
          <w:sz w:val="20"/>
          <w:szCs w:val="20"/>
        </w:rPr>
        <w:t>Mandrolisai</w:t>
      </w:r>
      <w:proofErr w:type="spellEnd"/>
      <w:r>
        <w:rPr>
          <w:rFonts w:ascii="Tahoma" w:eastAsia="Times New Roman" w:hAnsi="Tahoma" w:cs="Tahoma"/>
          <w:sz w:val="20"/>
          <w:szCs w:val="20"/>
        </w:rPr>
        <w:t>.</w:t>
      </w:r>
    </w:p>
    <w:p w14:paraId="13DEA090" w14:textId="7F375890" w:rsidR="00605365" w:rsidRDefault="00605365" w:rsidP="00520733">
      <w:pPr>
        <w:tabs>
          <w:tab w:val="left" w:pos="284"/>
        </w:tabs>
        <w:spacing w:after="0" w:line="360" w:lineRule="auto"/>
        <w:jc w:val="both"/>
        <w:rPr>
          <w:rFonts w:ascii="Tahoma" w:eastAsia="Times New Roman" w:hAnsi="Tahoma" w:cs="Tahoma"/>
          <w:sz w:val="20"/>
          <w:szCs w:val="20"/>
        </w:rPr>
      </w:pPr>
      <w:r w:rsidRPr="00605365">
        <w:rPr>
          <w:rFonts w:ascii="Tahoma" w:eastAsia="Times New Roman" w:hAnsi="Tahoma" w:cs="Tahoma"/>
          <w:sz w:val="20"/>
          <w:szCs w:val="20"/>
        </w:rPr>
        <w:t xml:space="preserve">In virtù della presente Convenzione, non identificabile con la tipologia di cui all’art. 30 del D. Lgs. N. 267/2000, il Comune di </w:t>
      </w:r>
      <w:r w:rsidR="008D0DA4">
        <w:rPr>
          <w:rFonts w:ascii="Tahoma" w:eastAsia="Times New Roman" w:hAnsi="Tahoma" w:cs="Tahoma"/>
          <w:sz w:val="20"/>
          <w:szCs w:val="20"/>
        </w:rPr>
        <w:t>Aritzo</w:t>
      </w:r>
      <w:r w:rsidRPr="00605365">
        <w:rPr>
          <w:rFonts w:ascii="Tahoma" w:eastAsia="Times New Roman" w:hAnsi="Tahoma" w:cs="Tahoma"/>
          <w:sz w:val="20"/>
          <w:szCs w:val="20"/>
        </w:rPr>
        <w:t xml:space="preserve"> acconsente all’utilizzazione parziale, non configurabile quale rapporto di lavoro a tempo parziale né come comando, da parte del</w:t>
      </w:r>
      <w:r>
        <w:rPr>
          <w:rFonts w:ascii="Tahoma" w:eastAsia="Times New Roman" w:hAnsi="Tahoma" w:cs="Tahoma"/>
          <w:sz w:val="20"/>
          <w:szCs w:val="20"/>
        </w:rPr>
        <w:t xml:space="preserve">la </w:t>
      </w:r>
      <w:r w:rsidRPr="00605365">
        <w:rPr>
          <w:rFonts w:ascii="Tahoma" w:eastAsia="Times New Roman" w:hAnsi="Tahoma" w:cs="Tahoma"/>
          <w:sz w:val="20"/>
          <w:szCs w:val="20"/>
        </w:rPr>
        <w:t xml:space="preserve">Comunità Montana Gennargentu </w:t>
      </w:r>
      <w:proofErr w:type="spellStart"/>
      <w:r w:rsidRPr="00605365">
        <w:rPr>
          <w:rFonts w:ascii="Tahoma" w:eastAsia="Times New Roman" w:hAnsi="Tahoma" w:cs="Tahoma"/>
          <w:sz w:val="20"/>
          <w:szCs w:val="20"/>
        </w:rPr>
        <w:t>Mandrolisai</w:t>
      </w:r>
      <w:proofErr w:type="spellEnd"/>
      <w:r>
        <w:rPr>
          <w:rFonts w:ascii="Tahoma" w:eastAsia="Times New Roman" w:hAnsi="Tahoma" w:cs="Tahoma"/>
          <w:sz w:val="20"/>
          <w:szCs w:val="20"/>
        </w:rPr>
        <w:t>.</w:t>
      </w:r>
    </w:p>
    <w:p w14:paraId="373E6EF1" w14:textId="77777777" w:rsidR="00883743" w:rsidRPr="0056740B" w:rsidRDefault="00883743" w:rsidP="00CC60C7">
      <w:pPr>
        <w:tabs>
          <w:tab w:val="left" w:pos="284"/>
        </w:tabs>
        <w:spacing w:after="0" w:line="360" w:lineRule="auto"/>
        <w:jc w:val="both"/>
        <w:rPr>
          <w:rFonts w:ascii="Tahoma" w:eastAsia="Times New Roman" w:hAnsi="Tahoma" w:cs="Tahoma"/>
          <w:sz w:val="20"/>
          <w:szCs w:val="20"/>
        </w:rPr>
      </w:pPr>
    </w:p>
    <w:p w14:paraId="0A6B05AB" w14:textId="30DD4BA9" w:rsidR="00B25890" w:rsidRPr="0056740B" w:rsidRDefault="00B25890"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Art. 3</w:t>
      </w:r>
    </w:p>
    <w:p w14:paraId="3EF9EA3D" w14:textId="77777777" w:rsidR="00DB29DA" w:rsidRPr="00DB29DA" w:rsidRDefault="00DB29DA" w:rsidP="00DB29DA">
      <w:pPr>
        <w:spacing w:after="0" w:line="360" w:lineRule="auto"/>
        <w:jc w:val="center"/>
        <w:rPr>
          <w:rFonts w:ascii="Tahoma" w:eastAsia="Times New Roman" w:hAnsi="Tahoma" w:cs="Tahoma"/>
          <w:b/>
          <w:sz w:val="20"/>
          <w:szCs w:val="20"/>
        </w:rPr>
      </w:pPr>
      <w:r w:rsidRPr="00DB29DA">
        <w:rPr>
          <w:rFonts w:ascii="Tahoma" w:eastAsia="Times New Roman" w:hAnsi="Tahoma" w:cs="Tahoma"/>
          <w:b/>
          <w:sz w:val="20"/>
          <w:szCs w:val="20"/>
        </w:rPr>
        <w:t>Individuazione del personale interessato</w:t>
      </w:r>
    </w:p>
    <w:p w14:paraId="5C65947C" w14:textId="618F3234" w:rsidR="002478D8" w:rsidRPr="00DB29DA" w:rsidRDefault="00DB29DA" w:rsidP="00DB29DA">
      <w:pPr>
        <w:spacing w:after="0" w:line="360" w:lineRule="auto"/>
        <w:jc w:val="both"/>
        <w:rPr>
          <w:rFonts w:ascii="Tahoma" w:eastAsia="Times New Roman" w:hAnsi="Tahoma" w:cs="Tahoma"/>
          <w:bCs/>
          <w:sz w:val="20"/>
          <w:szCs w:val="20"/>
        </w:rPr>
      </w:pPr>
      <w:r w:rsidRPr="00DB29DA">
        <w:rPr>
          <w:rFonts w:ascii="Tahoma" w:eastAsia="Times New Roman" w:hAnsi="Tahoma" w:cs="Tahoma"/>
          <w:bCs/>
          <w:sz w:val="20"/>
          <w:szCs w:val="20"/>
        </w:rPr>
        <w:t xml:space="preserve">La Comunità Montana Gennargentu </w:t>
      </w:r>
      <w:proofErr w:type="spellStart"/>
      <w:r w:rsidRPr="00DB29DA">
        <w:rPr>
          <w:rFonts w:ascii="Tahoma" w:eastAsia="Times New Roman" w:hAnsi="Tahoma" w:cs="Tahoma"/>
          <w:bCs/>
          <w:sz w:val="20"/>
          <w:szCs w:val="20"/>
        </w:rPr>
        <w:t>Mandrolisai</w:t>
      </w:r>
      <w:proofErr w:type="spellEnd"/>
      <w:r w:rsidRPr="00DB29DA">
        <w:rPr>
          <w:rFonts w:ascii="Tahoma" w:eastAsia="Times New Roman" w:hAnsi="Tahoma" w:cs="Tahoma"/>
          <w:bCs/>
          <w:sz w:val="20"/>
          <w:szCs w:val="20"/>
        </w:rPr>
        <w:t xml:space="preserve"> ha individuato </w:t>
      </w:r>
      <w:r w:rsidR="008D0DA4">
        <w:rPr>
          <w:rFonts w:ascii="Tahoma" w:eastAsia="Times New Roman" w:hAnsi="Tahoma" w:cs="Tahoma"/>
          <w:bCs/>
          <w:sz w:val="20"/>
          <w:szCs w:val="20"/>
        </w:rPr>
        <w:t xml:space="preserve">la </w:t>
      </w:r>
      <w:r w:rsidR="008D0DA4" w:rsidRPr="0056740B">
        <w:rPr>
          <w:rFonts w:ascii="Tahoma" w:hAnsi="Tahoma" w:cs="Tahoma"/>
          <w:bCs/>
          <w:sz w:val="20"/>
          <w:szCs w:val="20"/>
        </w:rPr>
        <w:t>Dott.ssa Giuseppina Olmi</w:t>
      </w:r>
      <w:r w:rsidR="008D0DA4" w:rsidRPr="00DB29DA">
        <w:rPr>
          <w:rFonts w:ascii="Tahoma" w:eastAsia="Times New Roman" w:hAnsi="Tahoma" w:cs="Tahoma"/>
          <w:bCs/>
          <w:sz w:val="20"/>
          <w:szCs w:val="20"/>
        </w:rPr>
        <w:t xml:space="preserve"> </w:t>
      </w:r>
      <w:r w:rsidRPr="00DB29DA">
        <w:rPr>
          <w:rFonts w:ascii="Tahoma" w:eastAsia="Times New Roman" w:hAnsi="Tahoma" w:cs="Tahoma"/>
          <w:bCs/>
          <w:sz w:val="20"/>
          <w:szCs w:val="20"/>
        </w:rPr>
        <w:t xml:space="preserve">in quanto </w:t>
      </w:r>
      <w:r>
        <w:rPr>
          <w:rFonts w:ascii="Tahoma" w:eastAsia="Times New Roman" w:hAnsi="Tahoma" w:cs="Tahoma"/>
          <w:bCs/>
          <w:sz w:val="20"/>
          <w:szCs w:val="20"/>
        </w:rPr>
        <w:t>la dipendente</w:t>
      </w:r>
      <w:r w:rsidRPr="00DB29DA">
        <w:rPr>
          <w:rFonts w:ascii="Tahoma" w:eastAsia="Times New Roman" w:hAnsi="Tahoma" w:cs="Tahoma"/>
          <w:bCs/>
          <w:sz w:val="20"/>
          <w:szCs w:val="20"/>
        </w:rPr>
        <w:t xml:space="preserve"> occupa il ruolo di </w:t>
      </w:r>
      <w:r w:rsidR="008D0DA4">
        <w:rPr>
          <w:rFonts w:ascii="Tahoma" w:hAnsi="Tahoma" w:cs="Tahoma"/>
          <w:bCs/>
          <w:sz w:val="20"/>
          <w:szCs w:val="20"/>
        </w:rPr>
        <w:t>I</w:t>
      </w:r>
      <w:r w:rsidR="008D0DA4" w:rsidRPr="0056740B">
        <w:rPr>
          <w:rFonts w:ascii="Tahoma" w:hAnsi="Tahoma" w:cs="Tahoma"/>
          <w:bCs/>
          <w:sz w:val="20"/>
          <w:szCs w:val="20"/>
        </w:rPr>
        <w:t xml:space="preserve">struttore </w:t>
      </w:r>
      <w:r w:rsidR="008D0DA4">
        <w:rPr>
          <w:rFonts w:ascii="Tahoma" w:hAnsi="Tahoma" w:cs="Tahoma"/>
          <w:bCs/>
          <w:sz w:val="20"/>
          <w:szCs w:val="20"/>
        </w:rPr>
        <w:t>Direttivo C</w:t>
      </w:r>
      <w:r w:rsidR="008D0DA4" w:rsidRPr="0056740B">
        <w:rPr>
          <w:rFonts w:ascii="Tahoma" w:hAnsi="Tahoma" w:cs="Tahoma"/>
          <w:bCs/>
          <w:sz w:val="20"/>
          <w:szCs w:val="20"/>
        </w:rPr>
        <w:t>ontabile</w:t>
      </w:r>
      <w:r w:rsidRPr="00DB29DA">
        <w:rPr>
          <w:rFonts w:ascii="Tahoma" w:eastAsia="Times New Roman" w:hAnsi="Tahoma" w:cs="Tahoma"/>
          <w:bCs/>
          <w:sz w:val="20"/>
          <w:szCs w:val="20"/>
        </w:rPr>
        <w:t xml:space="preserve">, </w:t>
      </w:r>
      <w:proofErr w:type="spellStart"/>
      <w:r w:rsidRPr="00DB29DA">
        <w:rPr>
          <w:rFonts w:ascii="Tahoma" w:eastAsia="Times New Roman" w:hAnsi="Tahoma" w:cs="Tahoma"/>
          <w:bCs/>
          <w:sz w:val="20"/>
          <w:szCs w:val="20"/>
        </w:rPr>
        <w:t>cat</w:t>
      </w:r>
      <w:proofErr w:type="spellEnd"/>
      <w:r w:rsidRPr="00DB29DA">
        <w:rPr>
          <w:rFonts w:ascii="Tahoma" w:eastAsia="Times New Roman" w:hAnsi="Tahoma" w:cs="Tahoma"/>
          <w:bCs/>
          <w:sz w:val="20"/>
          <w:szCs w:val="20"/>
        </w:rPr>
        <w:t>.</w:t>
      </w:r>
      <w:r w:rsidR="008D0DA4">
        <w:rPr>
          <w:rFonts w:ascii="Tahoma" w:eastAsia="Times New Roman" w:hAnsi="Tahoma" w:cs="Tahoma"/>
          <w:bCs/>
          <w:sz w:val="20"/>
          <w:szCs w:val="20"/>
        </w:rPr>
        <w:t xml:space="preserve"> D1</w:t>
      </w:r>
      <w:r w:rsidRPr="00DB29DA">
        <w:rPr>
          <w:rFonts w:ascii="Tahoma" w:eastAsia="Times New Roman" w:hAnsi="Tahoma" w:cs="Tahoma"/>
          <w:bCs/>
          <w:sz w:val="20"/>
          <w:szCs w:val="20"/>
        </w:rPr>
        <w:t xml:space="preserve"> presso il Comune di </w:t>
      </w:r>
      <w:r w:rsidR="008D0DA4">
        <w:rPr>
          <w:rFonts w:ascii="Tahoma" w:eastAsia="Times New Roman" w:hAnsi="Tahoma" w:cs="Tahoma"/>
          <w:bCs/>
          <w:sz w:val="20"/>
          <w:szCs w:val="20"/>
        </w:rPr>
        <w:t>Aritzo</w:t>
      </w:r>
      <w:r w:rsidRPr="00DB29DA">
        <w:rPr>
          <w:rFonts w:ascii="Tahoma" w:eastAsia="Times New Roman" w:hAnsi="Tahoma" w:cs="Tahoma"/>
          <w:bCs/>
          <w:sz w:val="20"/>
          <w:szCs w:val="20"/>
        </w:rPr>
        <w:t xml:space="preserve"> e tenuto conto della professionalità del</w:t>
      </w:r>
      <w:r>
        <w:rPr>
          <w:rFonts w:ascii="Tahoma" w:eastAsia="Times New Roman" w:hAnsi="Tahoma" w:cs="Tahoma"/>
          <w:bCs/>
          <w:sz w:val="20"/>
          <w:szCs w:val="20"/>
        </w:rPr>
        <w:t>la</w:t>
      </w:r>
      <w:r w:rsidRPr="00DB29DA">
        <w:rPr>
          <w:rFonts w:ascii="Tahoma" w:eastAsia="Times New Roman" w:hAnsi="Tahoma" w:cs="Tahoma"/>
          <w:bCs/>
          <w:sz w:val="20"/>
          <w:szCs w:val="20"/>
        </w:rPr>
        <w:t xml:space="preserve"> dipendente. L’utilizzo di detto dipendente in base alla presente convenzione avviene comunque sulla base di formale espressione di consenso da parte del lavoratore interessato, il quale ha in tal senso già manifestato il proprio assenso.</w:t>
      </w:r>
    </w:p>
    <w:p w14:paraId="186883D1" w14:textId="7C95AE28" w:rsidR="002478D8" w:rsidRPr="0056740B" w:rsidRDefault="002478D8" w:rsidP="00CC60C7">
      <w:pPr>
        <w:spacing w:after="0" w:line="360" w:lineRule="auto"/>
        <w:jc w:val="both"/>
        <w:rPr>
          <w:rFonts w:ascii="Tahoma" w:eastAsia="Times New Roman" w:hAnsi="Tahoma" w:cs="Tahoma"/>
          <w:bCs/>
          <w:sz w:val="20"/>
          <w:szCs w:val="20"/>
        </w:rPr>
      </w:pPr>
    </w:p>
    <w:p w14:paraId="7C9765BC" w14:textId="77777777" w:rsidR="00DB29DA" w:rsidRDefault="00FF5CDE"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 xml:space="preserve">Art.4 </w:t>
      </w:r>
    </w:p>
    <w:p w14:paraId="70FE3D5B" w14:textId="77777777" w:rsidR="0089560A" w:rsidRPr="0089560A" w:rsidRDefault="0089560A" w:rsidP="0089560A">
      <w:pPr>
        <w:spacing w:after="0" w:line="360" w:lineRule="auto"/>
        <w:jc w:val="center"/>
        <w:rPr>
          <w:rFonts w:ascii="Tahoma" w:eastAsia="Times New Roman" w:hAnsi="Tahoma" w:cs="Tahoma"/>
          <w:b/>
          <w:sz w:val="20"/>
          <w:szCs w:val="20"/>
        </w:rPr>
      </w:pPr>
      <w:r w:rsidRPr="0089560A">
        <w:rPr>
          <w:rFonts w:ascii="Tahoma" w:eastAsia="Times New Roman" w:hAnsi="Tahoma" w:cs="Tahoma"/>
          <w:b/>
          <w:sz w:val="20"/>
          <w:szCs w:val="20"/>
        </w:rPr>
        <w:t>Durata della convenzione</w:t>
      </w:r>
    </w:p>
    <w:p w14:paraId="574E9A24" w14:textId="5F10046F" w:rsidR="00232D26" w:rsidRPr="0089560A" w:rsidRDefault="0089560A" w:rsidP="0089560A">
      <w:pPr>
        <w:spacing w:after="0" w:line="360" w:lineRule="auto"/>
        <w:jc w:val="both"/>
        <w:rPr>
          <w:rFonts w:ascii="Tahoma" w:eastAsia="Times New Roman" w:hAnsi="Tahoma" w:cs="Tahoma"/>
          <w:bCs/>
          <w:sz w:val="20"/>
          <w:szCs w:val="20"/>
        </w:rPr>
      </w:pPr>
      <w:r w:rsidRPr="0089560A">
        <w:rPr>
          <w:rFonts w:ascii="Tahoma" w:eastAsia="Times New Roman" w:hAnsi="Tahoma" w:cs="Tahoma"/>
          <w:bCs/>
          <w:sz w:val="20"/>
          <w:szCs w:val="20"/>
        </w:rPr>
        <w:t>La presente Convenzione ha durata dal</w:t>
      </w:r>
      <w:r>
        <w:rPr>
          <w:rFonts w:ascii="Tahoma" w:eastAsia="Times New Roman" w:hAnsi="Tahoma" w:cs="Tahoma"/>
          <w:bCs/>
          <w:sz w:val="20"/>
          <w:szCs w:val="20"/>
        </w:rPr>
        <w:t>la data di sottoscrizione e</w:t>
      </w:r>
      <w:r w:rsidRPr="0089560A">
        <w:rPr>
          <w:rFonts w:ascii="Tahoma" w:eastAsia="Times New Roman" w:hAnsi="Tahoma" w:cs="Tahoma"/>
          <w:bCs/>
          <w:sz w:val="20"/>
          <w:szCs w:val="20"/>
        </w:rPr>
        <w:t xml:space="preserve"> fino </w:t>
      </w:r>
      <w:r>
        <w:rPr>
          <w:rFonts w:ascii="Tahoma" w:eastAsia="Times New Roman" w:hAnsi="Tahoma" w:cs="Tahoma"/>
          <w:bCs/>
          <w:sz w:val="20"/>
          <w:szCs w:val="20"/>
        </w:rPr>
        <w:t xml:space="preserve">alla completa attuazione della S.N.A.I. Gennargentu </w:t>
      </w:r>
      <w:proofErr w:type="spellStart"/>
      <w:r>
        <w:rPr>
          <w:rFonts w:ascii="Tahoma" w:eastAsia="Times New Roman" w:hAnsi="Tahoma" w:cs="Tahoma"/>
          <w:bCs/>
          <w:sz w:val="20"/>
          <w:szCs w:val="20"/>
        </w:rPr>
        <w:t>Mandrolisai</w:t>
      </w:r>
      <w:proofErr w:type="spellEnd"/>
      <w:r>
        <w:rPr>
          <w:rFonts w:ascii="Tahoma" w:eastAsia="Times New Roman" w:hAnsi="Tahoma" w:cs="Tahoma"/>
          <w:bCs/>
          <w:sz w:val="20"/>
          <w:szCs w:val="20"/>
        </w:rPr>
        <w:t>.</w:t>
      </w:r>
      <w:r w:rsidRPr="0089560A">
        <w:rPr>
          <w:rFonts w:ascii="Tahoma" w:eastAsia="Times New Roman" w:hAnsi="Tahoma" w:cs="Tahoma"/>
          <w:bCs/>
          <w:sz w:val="20"/>
          <w:szCs w:val="20"/>
        </w:rPr>
        <w:t xml:space="preserve"> Ciascun Ente, potrà, in qualsiasi momento, recedere dal rapporto convenzionale; in tale evenienza il recesso sarà concordato tra le parti e, comunque, avrà efficacia decorso un termine non inferiore a 15 giorni decorrenti dalla comunicazione di recesso. E’ sempre ammessa rinuncia da parte del dipendente interessato.</w:t>
      </w:r>
    </w:p>
    <w:p w14:paraId="5737BF11" w14:textId="77777777" w:rsidR="0089560A" w:rsidRDefault="0089560A" w:rsidP="00CC60C7">
      <w:pPr>
        <w:spacing w:after="0" w:line="360" w:lineRule="auto"/>
        <w:jc w:val="center"/>
        <w:rPr>
          <w:rFonts w:ascii="Tahoma" w:eastAsia="Times New Roman" w:hAnsi="Tahoma" w:cs="Tahoma"/>
          <w:b/>
          <w:sz w:val="20"/>
          <w:szCs w:val="20"/>
        </w:rPr>
      </w:pPr>
    </w:p>
    <w:p w14:paraId="4B78D1CF" w14:textId="77777777" w:rsidR="00554D68" w:rsidRDefault="00E02B36"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 xml:space="preserve">Art. 5 </w:t>
      </w:r>
    </w:p>
    <w:p w14:paraId="367ACA07" w14:textId="77777777" w:rsidR="00C85C88" w:rsidRPr="00C85C88" w:rsidRDefault="00C85C88" w:rsidP="00C85C88">
      <w:pPr>
        <w:spacing w:after="0" w:line="360" w:lineRule="auto"/>
        <w:jc w:val="center"/>
        <w:rPr>
          <w:rFonts w:ascii="Tahoma" w:eastAsia="Times New Roman" w:hAnsi="Tahoma" w:cs="Tahoma"/>
          <w:b/>
          <w:sz w:val="20"/>
          <w:szCs w:val="20"/>
        </w:rPr>
      </w:pPr>
      <w:r w:rsidRPr="00C85C88">
        <w:rPr>
          <w:rFonts w:ascii="Tahoma" w:eastAsia="Times New Roman" w:hAnsi="Tahoma" w:cs="Tahoma"/>
          <w:b/>
          <w:sz w:val="20"/>
          <w:szCs w:val="20"/>
        </w:rPr>
        <w:t>Tempi di utilizzo del personale</w:t>
      </w:r>
    </w:p>
    <w:p w14:paraId="1FA53341" w14:textId="14C2F54E" w:rsidR="00C85C88" w:rsidRPr="00C85C88" w:rsidRDefault="00C85C88" w:rsidP="00C85C88">
      <w:pPr>
        <w:spacing w:after="0" w:line="360" w:lineRule="auto"/>
        <w:jc w:val="both"/>
        <w:rPr>
          <w:rFonts w:ascii="Tahoma" w:eastAsia="Times New Roman" w:hAnsi="Tahoma" w:cs="Tahoma"/>
          <w:bCs/>
          <w:sz w:val="20"/>
          <w:szCs w:val="20"/>
        </w:rPr>
      </w:pPr>
      <w:r w:rsidRPr="00C85C88">
        <w:rPr>
          <w:rFonts w:ascii="Tahoma" w:eastAsia="Times New Roman" w:hAnsi="Tahoma" w:cs="Tahoma"/>
          <w:bCs/>
          <w:sz w:val="20"/>
          <w:szCs w:val="20"/>
        </w:rPr>
        <w:lastRenderedPageBreak/>
        <w:t xml:space="preserve">La prestazione di lavoro del dipendente interessato presso la Comunità Montana Gennargentu </w:t>
      </w:r>
      <w:proofErr w:type="spellStart"/>
      <w:r w:rsidRPr="00C85C88">
        <w:rPr>
          <w:rFonts w:ascii="Tahoma" w:eastAsia="Times New Roman" w:hAnsi="Tahoma" w:cs="Tahoma"/>
          <w:bCs/>
          <w:sz w:val="20"/>
          <w:szCs w:val="20"/>
        </w:rPr>
        <w:t>Mandrolisai</w:t>
      </w:r>
      <w:proofErr w:type="spellEnd"/>
      <w:r w:rsidRPr="00C85C88">
        <w:rPr>
          <w:rFonts w:ascii="Tahoma" w:eastAsia="Times New Roman" w:hAnsi="Tahoma" w:cs="Tahoma"/>
          <w:bCs/>
          <w:sz w:val="20"/>
          <w:szCs w:val="20"/>
        </w:rPr>
        <w:t xml:space="preserve"> è pari a n. </w:t>
      </w:r>
      <w:r>
        <w:rPr>
          <w:rFonts w:ascii="Tahoma" w:eastAsia="Times New Roman" w:hAnsi="Tahoma" w:cs="Tahoma"/>
          <w:bCs/>
          <w:sz w:val="20"/>
          <w:szCs w:val="20"/>
        </w:rPr>
        <w:t>3</w:t>
      </w:r>
      <w:r w:rsidRPr="00C85C88">
        <w:rPr>
          <w:rFonts w:ascii="Tahoma" w:eastAsia="Times New Roman" w:hAnsi="Tahoma" w:cs="Tahoma"/>
          <w:bCs/>
          <w:sz w:val="20"/>
          <w:szCs w:val="20"/>
        </w:rPr>
        <w:t xml:space="preserve"> ore settimanali, da effettuarsi come da calendario stabilito tra le parti, nell’ambito dell’orario d’obbligo settimanale contrattuale, fatte salve in ogni caso le prioritarie esigenze dell’Ente di appartenenza.</w:t>
      </w:r>
    </w:p>
    <w:p w14:paraId="7B926614" w14:textId="1FAC0DBF" w:rsidR="00E94453" w:rsidRPr="0056740B" w:rsidRDefault="00C85C88" w:rsidP="00C85C88">
      <w:pPr>
        <w:spacing w:after="0" w:line="360" w:lineRule="auto"/>
        <w:jc w:val="both"/>
        <w:rPr>
          <w:rFonts w:ascii="Tahoma" w:eastAsia="Times New Roman" w:hAnsi="Tahoma" w:cs="Tahoma"/>
          <w:b/>
          <w:sz w:val="20"/>
          <w:szCs w:val="20"/>
        </w:rPr>
      </w:pPr>
      <w:r w:rsidRPr="00C85C88">
        <w:rPr>
          <w:rFonts w:ascii="Tahoma" w:eastAsia="Times New Roman" w:hAnsi="Tahoma" w:cs="Tahoma"/>
          <w:bCs/>
          <w:sz w:val="20"/>
          <w:szCs w:val="20"/>
        </w:rPr>
        <w:t xml:space="preserve">La Comunità Montana Gennargentu </w:t>
      </w:r>
      <w:proofErr w:type="spellStart"/>
      <w:r w:rsidRPr="00C85C88">
        <w:rPr>
          <w:rFonts w:ascii="Tahoma" w:eastAsia="Times New Roman" w:hAnsi="Tahoma" w:cs="Tahoma"/>
          <w:bCs/>
          <w:sz w:val="20"/>
          <w:szCs w:val="20"/>
        </w:rPr>
        <w:t>Mandrolisai</w:t>
      </w:r>
      <w:proofErr w:type="spellEnd"/>
      <w:r w:rsidRPr="00C85C88">
        <w:rPr>
          <w:rFonts w:ascii="Tahoma" w:eastAsia="Times New Roman" w:hAnsi="Tahoma" w:cs="Tahoma"/>
          <w:bCs/>
          <w:sz w:val="20"/>
          <w:szCs w:val="20"/>
        </w:rPr>
        <w:t xml:space="preserve"> potrà organizzare la prestazione del personale utilizzato, nell’ambito del tempo di lavoro d’obbligo complessivamente determinato, con riferimento alle proprie esigenze funzionali ed organizzative. Al fine di rendere il servizio in modo ottimale in rapporto alle diverse esigenze che dovessero prospettarsi e, come già più volte sottolineato, nel rispetto delle priorità dell’Ente di appartenenza, il personale utilizzato, ferma restando la ripartizione delle presenze settimanali, potrà organizzare la propria attività in modo diverso da sopra quanto stabilito, in accordo tra gli Enti</w:t>
      </w:r>
      <w:r w:rsidRPr="00C85C88">
        <w:rPr>
          <w:rFonts w:ascii="Tahoma" w:eastAsia="Times New Roman" w:hAnsi="Tahoma" w:cs="Tahoma"/>
          <w:b/>
          <w:sz w:val="20"/>
          <w:szCs w:val="20"/>
        </w:rPr>
        <w:t>.</w:t>
      </w:r>
    </w:p>
    <w:p w14:paraId="33A9DC56" w14:textId="77777777" w:rsidR="00C85C88" w:rsidRDefault="00C85C88" w:rsidP="00CC60C7">
      <w:pPr>
        <w:spacing w:after="0" w:line="360" w:lineRule="auto"/>
        <w:jc w:val="center"/>
        <w:rPr>
          <w:rFonts w:ascii="Tahoma" w:eastAsia="Times New Roman" w:hAnsi="Tahoma" w:cs="Tahoma"/>
          <w:b/>
          <w:sz w:val="20"/>
          <w:szCs w:val="20"/>
        </w:rPr>
      </w:pPr>
    </w:p>
    <w:p w14:paraId="5D623F48" w14:textId="77777777" w:rsidR="00297539" w:rsidRDefault="00D57A8A"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 xml:space="preserve">Art. 6 </w:t>
      </w:r>
    </w:p>
    <w:p w14:paraId="7C226392" w14:textId="274A34A0" w:rsidR="00297539" w:rsidRPr="00297539" w:rsidRDefault="00297539" w:rsidP="00297539">
      <w:pPr>
        <w:spacing w:after="0" w:line="360" w:lineRule="auto"/>
        <w:jc w:val="center"/>
        <w:rPr>
          <w:rFonts w:ascii="Tahoma" w:eastAsia="Times New Roman" w:hAnsi="Tahoma" w:cs="Tahoma"/>
          <w:b/>
          <w:sz w:val="20"/>
          <w:szCs w:val="20"/>
        </w:rPr>
      </w:pPr>
      <w:r w:rsidRPr="00297539">
        <w:rPr>
          <w:rFonts w:ascii="Tahoma" w:eastAsia="Times New Roman" w:hAnsi="Tahoma" w:cs="Tahoma"/>
          <w:b/>
          <w:sz w:val="20"/>
          <w:szCs w:val="20"/>
        </w:rPr>
        <w:t>Rapporto di lavoro - trattamento economico e rapporti finanziari tra Enti</w:t>
      </w:r>
    </w:p>
    <w:p w14:paraId="4E52CF8D" w14:textId="731E0585" w:rsidR="00297539" w:rsidRPr="00297539" w:rsidRDefault="00297539" w:rsidP="00297539">
      <w:pPr>
        <w:spacing w:after="0" w:line="360" w:lineRule="auto"/>
        <w:jc w:val="both"/>
        <w:rPr>
          <w:rFonts w:ascii="Tahoma" w:eastAsia="Times New Roman" w:hAnsi="Tahoma" w:cs="Tahoma"/>
          <w:bCs/>
          <w:sz w:val="20"/>
          <w:szCs w:val="20"/>
        </w:rPr>
      </w:pPr>
      <w:r w:rsidRPr="00297539">
        <w:rPr>
          <w:rFonts w:ascii="Tahoma" w:eastAsia="Times New Roman" w:hAnsi="Tahoma" w:cs="Tahoma"/>
          <w:bCs/>
          <w:sz w:val="20"/>
          <w:szCs w:val="20"/>
        </w:rPr>
        <w:t xml:space="preserve">La titolarità del rapporto organico è conservata presso il Comune di </w:t>
      </w:r>
      <w:r w:rsidR="008D0DA4">
        <w:rPr>
          <w:rFonts w:ascii="Tahoma" w:eastAsia="Times New Roman" w:hAnsi="Tahoma" w:cs="Tahoma"/>
          <w:bCs/>
          <w:sz w:val="20"/>
          <w:szCs w:val="20"/>
        </w:rPr>
        <w:t>Aritzo</w:t>
      </w:r>
      <w:r w:rsidRPr="00297539">
        <w:rPr>
          <w:rFonts w:ascii="Tahoma" w:eastAsia="Times New Roman" w:hAnsi="Tahoma" w:cs="Tahoma"/>
          <w:bCs/>
          <w:sz w:val="20"/>
          <w:szCs w:val="20"/>
        </w:rPr>
        <w:t xml:space="preserve"> a cui compete la gestione degli istituti connessi con il servizio. Il Comune di </w:t>
      </w:r>
      <w:r w:rsidR="008D0DA4">
        <w:rPr>
          <w:rFonts w:ascii="Tahoma" w:eastAsia="Times New Roman" w:hAnsi="Tahoma" w:cs="Tahoma"/>
          <w:bCs/>
          <w:sz w:val="20"/>
          <w:szCs w:val="20"/>
        </w:rPr>
        <w:t>Aritzo</w:t>
      </w:r>
      <w:r w:rsidRPr="00297539">
        <w:rPr>
          <w:rFonts w:ascii="Tahoma" w:eastAsia="Times New Roman" w:hAnsi="Tahoma" w:cs="Tahoma"/>
          <w:bCs/>
          <w:sz w:val="20"/>
          <w:szCs w:val="20"/>
        </w:rPr>
        <w:t xml:space="preserve"> corrisponderà al dipendente il trattamento economico fisso e continuativo, nonché gli eventuali incrementi economici derivanti da eventuali rinnovi contrattuali relativi al periodo oggetto di utilizzo.</w:t>
      </w:r>
    </w:p>
    <w:p w14:paraId="59F12345" w14:textId="36E04BA0" w:rsidR="00297539" w:rsidRPr="00297539" w:rsidRDefault="00297539" w:rsidP="00297539">
      <w:pPr>
        <w:spacing w:after="0" w:line="360" w:lineRule="auto"/>
        <w:jc w:val="both"/>
        <w:rPr>
          <w:rFonts w:ascii="Tahoma" w:eastAsia="Times New Roman" w:hAnsi="Tahoma" w:cs="Tahoma"/>
          <w:bCs/>
          <w:sz w:val="20"/>
          <w:szCs w:val="20"/>
        </w:rPr>
      </w:pPr>
      <w:r w:rsidRPr="00297539">
        <w:rPr>
          <w:rFonts w:ascii="Tahoma" w:eastAsia="Times New Roman" w:hAnsi="Tahoma" w:cs="Tahoma"/>
          <w:bCs/>
          <w:sz w:val="20"/>
          <w:szCs w:val="20"/>
        </w:rPr>
        <w:t xml:space="preserve">Il trattamento economico fisso e continuativo ed i relativi oneri fiscali e previdenziali </w:t>
      </w:r>
      <w:r w:rsidR="00016F61">
        <w:rPr>
          <w:rFonts w:ascii="Tahoma" w:eastAsia="Times New Roman" w:hAnsi="Tahoma" w:cs="Tahoma"/>
          <w:bCs/>
          <w:sz w:val="20"/>
          <w:szCs w:val="20"/>
        </w:rPr>
        <w:t xml:space="preserve">rimarranno </w:t>
      </w:r>
      <w:r w:rsidRPr="00297539">
        <w:rPr>
          <w:rFonts w:ascii="Tahoma" w:eastAsia="Times New Roman" w:hAnsi="Tahoma" w:cs="Tahoma"/>
          <w:bCs/>
          <w:sz w:val="20"/>
          <w:szCs w:val="20"/>
        </w:rPr>
        <w:t>a carico dell’amministrazione di appartenenza</w:t>
      </w:r>
      <w:r w:rsidR="00016F61">
        <w:rPr>
          <w:rFonts w:ascii="Tahoma" w:eastAsia="Times New Roman" w:hAnsi="Tahoma" w:cs="Tahoma"/>
          <w:bCs/>
          <w:sz w:val="20"/>
          <w:szCs w:val="20"/>
        </w:rPr>
        <w:t>.</w:t>
      </w:r>
    </w:p>
    <w:p w14:paraId="2987F72F" w14:textId="31E44604" w:rsidR="00297539" w:rsidRPr="00297539" w:rsidRDefault="00297539" w:rsidP="00297539">
      <w:pPr>
        <w:spacing w:after="0" w:line="360" w:lineRule="auto"/>
        <w:jc w:val="both"/>
        <w:rPr>
          <w:rFonts w:ascii="Tahoma" w:eastAsia="Times New Roman" w:hAnsi="Tahoma" w:cs="Tahoma"/>
          <w:bCs/>
          <w:sz w:val="20"/>
          <w:szCs w:val="20"/>
        </w:rPr>
      </w:pPr>
      <w:r w:rsidRPr="00297539">
        <w:rPr>
          <w:rFonts w:ascii="Tahoma" w:eastAsia="Times New Roman" w:hAnsi="Tahoma" w:cs="Tahoma"/>
          <w:bCs/>
          <w:sz w:val="20"/>
          <w:szCs w:val="20"/>
        </w:rPr>
        <w:t xml:space="preserve">Eventuali forme di incentivazione economica erogate dalla Comunità Montana Gennargentu </w:t>
      </w:r>
      <w:proofErr w:type="spellStart"/>
      <w:r w:rsidRPr="00297539">
        <w:rPr>
          <w:rFonts w:ascii="Tahoma" w:eastAsia="Times New Roman" w:hAnsi="Tahoma" w:cs="Tahoma"/>
          <w:bCs/>
          <w:sz w:val="20"/>
          <w:szCs w:val="20"/>
        </w:rPr>
        <w:t>Mandrolisai</w:t>
      </w:r>
      <w:proofErr w:type="spellEnd"/>
      <w:r w:rsidRPr="00297539">
        <w:rPr>
          <w:rFonts w:ascii="Tahoma" w:eastAsia="Times New Roman" w:hAnsi="Tahoma" w:cs="Tahoma"/>
          <w:bCs/>
          <w:sz w:val="20"/>
          <w:szCs w:val="20"/>
        </w:rPr>
        <w:t>, dovranno essere comunicat</w:t>
      </w:r>
      <w:r w:rsidR="00DD6EE3">
        <w:rPr>
          <w:rFonts w:ascii="Tahoma" w:eastAsia="Times New Roman" w:hAnsi="Tahoma" w:cs="Tahoma"/>
          <w:bCs/>
          <w:sz w:val="20"/>
          <w:szCs w:val="20"/>
        </w:rPr>
        <w:t>e</w:t>
      </w:r>
      <w:r w:rsidRPr="00297539">
        <w:rPr>
          <w:rFonts w:ascii="Tahoma" w:eastAsia="Times New Roman" w:hAnsi="Tahoma" w:cs="Tahoma"/>
          <w:bCs/>
          <w:sz w:val="20"/>
          <w:szCs w:val="20"/>
        </w:rPr>
        <w:t xml:space="preserve"> e trasferit</w:t>
      </w:r>
      <w:r w:rsidR="00DD6EE3">
        <w:rPr>
          <w:rFonts w:ascii="Tahoma" w:eastAsia="Times New Roman" w:hAnsi="Tahoma" w:cs="Tahoma"/>
          <w:bCs/>
          <w:sz w:val="20"/>
          <w:szCs w:val="20"/>
        </w:rPr>
        <w:t>e</w:t>
      </w:r>
      <w:r w:rsidRPr="00297539">
        <w:rPr>
          <w:rFonts w:ascii="Tahoma" w:eastAsia="Times New Roman" w:hAnsi="Tahoma" w:cs="Tahoma"/>
          <w:bCs/>
          <w:sz w:val="20"/>
          <w:szCs w:val="20"/>
        </w:rPr>
        <w:t xml:space="preserve"> all’Ente di provenienza quale titolare del rapporto di lavoro, che provvederà a corrisponderli al dipendente.</w:t>
      </w:r>
    </w:p>
    <w:p w14:paraId="6A72F514" w14:textId="6E03361A" w:rsidR="003801A9" w:rsidRPr="00297539" w:rsidRDefault="00297539" w:rsidP="00297539">
      <w:pPr>
        <w:spacing w:after="0" w:line="360" w:lineRule="auto"/>
        <w:jc w:val="both"/>
        <w:rPr>
          <w:rFonts w:ascii="Tahoma" w:eastAsia="Times New Roman" w:hAnsi="Tahoma" w:cs="Tahoma"/>
          <w:bCs/>
          <w:sz w:val="20"/>
          <w:szCs w:val="20"/>
        </w:rPr>
      </w:pPr>
      <w:r w:rsidRPr="00297539">
        <w:rPr>
          <w:rFonts w:ascii="Tahoma" w:eastAsia="Times New Roman" w:hAnsi="Tahoma" w:cs="Tahoma"/>
          <w:bCs/>
          <w:sz w:val="20"/>
          <w:szCs w:val="20"/>
        </w:rPr>
        <w:t xml:space="preserve">Per le prestazioni svolte al di fuori dell’orario ordinario, il relativo compenso, qualora ne ricorrano le condizioni contrattuali, verrà determinato sulla base delle tariffe previste dal contratto di lavoro, resterà a carico dell’ente che ha autorizzato la prestazione e dovrà essere comunicato e trasferito all’Ente di provenienza quale titolare del rapporto di lavoro, che provvederà a corrisponderlo al dipendente. Ogni onere finanziario connesso al trattamento economico fondamentale del dipendente, compresi gli oneri riflessi, sarà posto </w:t>
      </w:r>
      <w:r w:rsidR="00016F61">
        <w:rPr>
          <w:rFonts w:ascii="Tahoma" w:eastAsia="Times New Roman" w:hAnsi="Tahoma" w:cs="Tahoma"/>
          <w:bCs/>
          <w:sz w:val="20"/>
          <w:szCs w:val="20"/>
        </w:rPr>
        <w:t>a carico dell’ente di appartenenza,</w:t>
      </w:r>
      <w:r w:rsidRPr="00297539">
        <w:rPr>
          <w:rFonts w:ascii="Tahoma" w:eastAsia="Times New Roman" w:hAnsi="Tahoma" w:cs="Tahoma"/>
          <w:bCs/>
          <w:sz w:val="20"/>
          <w:szCs w:val="20"/>
        </w:rPr>
        <w:t xml:space="preserve"> fatte salve le retribuzioni connesse ad incarichi o prestazioni aggiuntive che resteranno a carico dell’ente conferente.</w:t>
      </w:r>
    </w:p>
    <w:p w14:paraId="3D33F77D" w14:textId="25EA0B2D" w:rsidR="00FF5C11" w:rsidRDefault="003801A9"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 xml:space="preserve">Art. 7 </w:t>
      </w:r>
    </w:p>
    <w:p w14:paraId="52632E2D" w14:textId="77777777" w:rsidR="00FF5C11" w:rsidRPr="00FF5C11" w:rsidRDefault="00FF5C11" w:rsidP="00FF5C11">
      <w:pPr>
        <w:spacing w:after="0" w:line="360" w:lineRule="auto"/>
        <w:jc w:val="center"/>
        <w:rPr>
          <w:rFonts w:ascii="Tahoma" w:eastAsia="Times New Roman" w:hAnsi="Tahoma" w:cs="Tahoma"/>
          <w:b/>
          <w:sz w:val="20"/>
          <w:szCs w:val="20"/>
        </w:rPr>
      </w:pPr>
      <w:r w:rsidRPr="00FF5C11">
        <w:rPr>
          <w:rFonts w:ascii="Tahoma" w:eastAsia="Times New Roman" w:hAnsi="Tahoma" w:cs="Tahoma"/>
          <w:b/>
          <w:sz w:val="20"/>
          <w:szCs w:val="20"/>
        </w:rPr>
        <w:t>Ferie e malattia</w:t>
      </w:r>
    </w:p>
    <w:p w14:paraId="1A10CCEA" w14:textId="206094DE" w:rsidR="003801A9" w:rsidRPr="00FF5C11" w:rsidRDefault="00FF5C11" w:rsidP="00FF5C11">
      <w:pPr>
        <w:spacing w:after="0" w:line="360" w:lineRule="auto"/>
        <w:jc w:val="both"/>
        <w:rPr>
          <w:rFonts w:ascii="Tahoma" w:eastAsia="Times New Roman" w:hAnsi="Tahoma" w:cs="Tahoma"/>
          <w:bCs/>
          <w:sz w:val="20"/>
          <w:szCs w:val="20"/>
        </w:rPr>
      </w:pPr>
      <w:r w:rsidRPr="00FF5C11">
        <w:rPr>
          <w:rFonts w:ascii="Tahoma" w:eastAsia="Times New Roman" w:hAnsi="Tahoma" w:cs="Tahoma"/>
          <w:bCs/>
          <w:sz w:val="20"/>
          <w:szCs w:val="20"/>
        </w:rPr>
        <w:t xml:space="preserve">Le ferie e gli altri congedi sono concessi dall’Amministrazione di appartenenza del dipendente, previo raccordo e coordinamento con l’Ente utilizzatore. Qualora le assenze (ferie, permessi e quant’altro) ricadano esclusivamente nei giorni di utilizzo del dipendente presso la Comunità Montana Gennargentu </w:t>
      </w:r>
      <w:proofErr w:type="spellStart"/>
      <w:r w:rsidRPr="00FF5C11">
        <w:rPr>
          <w:rFonts w:ascii="Tahoma" w:eastAsia="Times New Roman" w:hAnsi="Tahoma" w:cs="Tahoma"/>
          <w:bCs/>
          <w:sz w:val="20"/>
          <w:szCs w:val="20"/>
        </w:rPr>
        <w:t>Mandrolisai</w:t>
      </w:r>
      <w:proofErr w:type="spellEnd"/>
      <w:r w:rsidRPr="00FF5C11">
        <w:rPr>
          <w:rFonts w:ascii="Tahoma" w:eastAsia="Times New Roman" w:hAnsi="Tahoma" w:cs="Tahoma"/>
          <w:bCs/>
          <w:sz w:val="20"/>
          <w:szCs w:val="20"/>
        </w:rPr>
        <w:t xml:space="preserve">, lo stesso dovrà inoltrare specifica richiesta con le modalità previste in tale Ente. In caso di malattia il dipendente effettuerà le previste comunicazioni con le modalità previste dalla vigente normativa al Comune di </w:t>
      </w:r>
      <w:r w:rsidR="008D0DA4">
        <w:rPr>
          <w:rFonts w:ascii="Tahoma" w:eastAsia="Times New Roman" w:hAnsi="Tahoma" w:cs="Tahoma"/>
          <w:bCs/>
          <w:sz w:val="20"/>
          <w:szCs w:val="20"/>
        </w:rPr>
        <w:t>Aritzo</w:t>
      </w:r>
      <w:r w:rsidR="00C157B0">
        <w:rPr>
          <w:rFonts w:ascii="Tahoma" w:eastAsia="Times New Roman" w:hAnsi="Tahoma" w:cs="Tahoma"/>
          <w:bCs/>
          <w:sz w:val="20"/>
          <w:szCs w:val="20"/>
        </w:rPr>
        <w:t xml:space="preserve"> </w:t>
      </w:r>
      <w:r w:rsidRPr="00FF5C11">
        <w:rPr>
          <w:rFonts w:ascii="Tahoma" w:eastAsia="Times New Roman" w:hAnsi="Tahoma" w:cs="Tahoma"/>
          <w:bCs/>
          <w:sz w:val="20"/>
          <w:szCs w:val="20"/>
        </w:rPr>
        <w:t xml:space="preserve">che, ove necessario rispetto alle modalità di articolazione dell’orario di lavoro tra i due Comuni, comunicherà lo stato di malattia alla Comunità Montana Gennargentu </w:t>
      </w:r>
      <w:proofErr w:type="spellStart"/>
      <w:r w:rsidRPr="00FF5C11">
        <w:rPr>
          <w:rFonts w:ascii="Tahoma" w:eastAsia="Times New Roman" w:hAnsi="Tahoma" w:cs="Tahoma"/>
          <w:bCs/>
          <w:sz w:val="20"/>
          <w:szCs w:val="20"/>
        </w:rPr>
        <w:t>Mandrolisai</w:t>
      </w:r>
      <w:proofErr w:type="spellEnd"/>
      <w:r w:rsidRPr="00FF5C11">
        <w:rPr>
          <w:rFonts w:ascii="Tahoma" w:eastAsia="Times New Roman" w:hAnsi="Tahoma" w:cs="Tahoma"/>
          <w:bCs/>
          <w:sz w:val="20"/>
          <w:szCs w:val="20"/>
        </w:rPr>
        <w:t>.</w:t>
      </w:r>
    </w:p>
    <w:p w14:paraId="25749A2D" w14:textId="77777777" w:rsidR="003801A9" w:rsidRPr="0056740B" w:rsidRDefault="003801A9" w:rsidP="00CC60C7">
      <w:pPr>
        <w:spacing w:after="0" w:line="360" w:lineRule="auto"/>
        <w:jc w:val="both"/>
        <w:rPr>
          <w:rFonts w:ascii="Tahoma" w:eastAsia="Times New Roman" w:hAnsi="Tahoma" w:cs="Tahoma"/>
          <w:bCs/>
          <w:sz w:val="20"/>
          <w:szCs w:val="20"/>
        </w:rPr>
      </w:pPr>
    </w:p>
    <w:p w14:paraId="4A43BFB0" w14:textId="77777777" w:rsidR="00C157B0" w:rsidRDefault="003801A9" w:rsidP="00CC60C7">
      <w:pPr>
        <w:spacing w:after="0" w:line="360" w:lineRule="auto"/>
        <w:jc w:val="center"/>
        <w:rPr>
          <w:rFonts w:ascii="Tahoma" w:eastAsia="Times New Roman" w:hAnsi="Tahoma" w:cs="Tahoma"/>
          <w:b/>
          <w:sz w:val="20"/>
          <w:szCs w:val="20"/>
        </w:rPr>
      </w:pPr>
      <w:r w:rsidRPr="0056740B">
        <w:rPr>
          <w:rFonts w:ascii="Tahoma" w:eastAsia="Times New Roman" w:hAnsi="Tahoma" w:cs="Tahoma"/>
          <w:b/>
          <w:sz w:val="20"/>
          <w:szCs w:val="20"/>
        </w:rPr>
        <w:t xml:space="preserve">Art. 8 </w:t>
      </w:r>
    </w:p>
    <w:p w14:paraId="25218DBC" w14:textId="77777777" w:rsidR="00E37F98" w:rsidRPr="00E37F98" w:rsidRDefault="00E37F98" w:rsidP="00E37F98">
      <w:pPr>
        <w:spacing w:after="0" w:line="360" w:lineRule="auto"/>
        <w:jc w:val="center"/>
        <w:rPr>
          <w:rFonts w:ascii="Tahoma" w:eastAsia="Times New Roman" w:hAnsi="Tahoma" w:cs="Tahoma"/>
          <w:b/>
          <w:sz w:val="20"/>
          <w:szCs w:val="20"/>
        </w:rPr>
      </w:pPr>
      <w:r w:rsidRPr="00E37F98">
        <w:rPr>
          <w:rFonts w:ascii="Tahoma" w:eastAsia="Times New Roman" w:hAnsi="Tahoma" w:cs="Tahoma"/>
          <w:b/>
          <w:sz w:val="20"/>
          <w:szCs w:val="20"/>
        </w:rPr>
        <w:lastRenderedPageBreak/>
        <w:t>Verifiche inerenti alla convenzione</w:t>
      </w:r>
    </w:p>
    <w:p w14:paraId="355CF5F3" w14:textId="1F362951" w:rsidR="003801A9" w:rsidRPr="00E37F98" w:rsidRDefault="00E37F98" w:rsidP="00E37F98">
      <w:pPr>
        <w:spacing w:after="0" w:line="360" w:lineRule="auto"/>
        <w:jc w:val="both"/>
        <w:rPr>
          <w:rFonts w:ascii="Tahoma" w:eastAsia="Times New Roman" w:hAnsi="Tahoma" w:cs="Tahoma"/>
          <w:bCs/>
          <w:sz w:val="20"/>
          <w:szCs w:val="20"/>
        </w:rPr>
      </w:pPr>
      <w:r w:rsidRPr="00E37F98">
        <w:rPr>
          <w:rFonts w:ascii="Tahoma" w:eastAsia="Times New Roman" w:hAnsi="Tahoma" w:cs="Tahoma"/>
          <w:bCs/>
          <w:sz w:val="20"/>
          <w:szCs w:val="20"/>
        </w:rPr>
        <w:t>Le Amministrazioni definiscono sistemi, strumenti e modalità per la verifica dell’efficacia della presente Convenzione in relazione alle finalità della stessa. Le verifiche ineriscono in particolare le modalità di gestione del personale utilizzato.</w:t>
      </w:r>
    </w:p>
    <w:p w14:paraId="7E119656" w14:textId="6D10A566" w:rsidR="002208FE" w:rsidRPr="0056740B" w:rsidRDefault="002208FE" w:rsidP="00CC60C7">
      <w:pPr>
        <w:spacing w:after="0" w:line="360" w:lineRule="auto"/>
        <w:jc w:val="both"/>
        <w:rPr>
          <w:rFonts w:ascii="Tahoma" w:eastAsia="Times New Roman" w:hAnsi="Tahoma" w:cs="Tahoma"/>
          <w:b/>
          <w:sz w:val="20"/>
          <w:szCs w:val="20"/>
        </w:rPr>
      </w:pPr>
    </w:p>
    <w:p w14:paraId="32A63277" w14:textId="0768994E" w:rsidR="00017591" w:rsidRPr="0056740B" w:rsidRDefault="00657E56" w:rsidP="00657E56">
      <w:pPr>
        <w:spacing w:after="0" w:line="360" w:lineRule="auto"/>
        <w:jc w:val="center"/>
        <w:rPr>
          <w:rFonts w:ascii="Tahoma" w:eastAsia="Times New Roman" w:hAnsi="Tahoma" w:cs="Tahoma"/>
          <w:b/>
          <w:sz w:val="20"/>
          <w:szCs w:val="20"/>
        </w:rPr>
      </w:pPr>
      <w:r w:rsidRPr="00657E56">
        <w:rPr>
          <w:rFonts w:ascii="Tahoma" w:eastAsia="Times New Roman" w:hAnsi="Tahoma" w:cs="Tahoma"/>
          <w:b/>
          <w:sz w:val="20"/>
          <w:szCs w:val="20"/>
        </w:rPr>
        <w:t xml:space="preserve">Art. </w:t>
      </w:r>
      <w:r>
        <w:rPr>
          <w:rFonts w:ascii="Tahoma" w:eastAsia="Times New Roman" w:hAnsi="Tahoma" w:cs="Tahoma"/>
          <w:b/>
          <w:sz w:val="20"/>
          <w:szCs w:val="20"/>
        </w:rPr>
        <w:t>9</w:t>
      </w:r>
    </w:p>
    <w:p w14:paraId="56DB2065" w14:textId="77777777" w:rsidR="00C92A00" w:rsidRPr="00C92A00" w:rsidRDefault="00C92A00" w:rsidP="00C92A00">
      <w:pPr>
        <w:spacing w:after="0" w:line="360" w:lineRule="auto"/>
        <w:jc w:val="center"/>
        <w:rPr>
          <w:rFonts w:ascii="Tahoma" w:eastAsia="Times New Roman" w:hAnsi="Tahoma" w:cs="Tahoma"/>
          <w:b/>
          <w:sz w:val="20"/>
          <w:szCs w:val="20"/>
        </w:rPr>
      </w:pPr>
      <w:r w:rsidRPr="00C92A00">
        <w:rPr>
          <w:rFonts w:ascii="Tahoma" w:eastAsia="Times New Roman" w:hAnsi="Tahoma" w:cs="Tahoma"/>
          <w:b/>
          <w:sz w:val="20"/>
          <w:szCs w:val="20"/>
        </w:rPr>
        <w:t>Revisioni e possibili estensioni temporali della convenzione</w:t>
      </w:r>
    </w:p>
    <w:p w14:paraId="2F76B8C8" w14:textId="2B55BDA7" w:rsidR="00C92A00" w:rsidRPr="00C92A00" w:rsidRDefault="00C92A00" w:rsidP="00C92A00">
      <w:pPr>
        <w:spacing w:after="0" w:line="360" w:lineRule="auto"/>
        <w:jc w:val="both"/>
        <w:rPr>
          <w:rFonts w:ascii="Tahoma" w:eastAsia="Times New Roman" w:hAnsi="Tahoma" w:cs="Tahoma"/>
          <w:bCs/>
          <w:sz w:val="20"/>
          <w:szCs w:val="20"/>
        </w:rPr>
      </w:pPr>
      <w:r w:rsidRPr="00C92A00">
        <w:rPr>
          <w:rFonts w:ascii="Tahoma" w:eastAsia="Times New Roman" w:hAnsi="Tahoma" w:cs="Tahoma"/>
          <w:bCs/>
          <w:sz w:val="20"/>
          <w:szCs w:val="20"/>
        </w:rPr>
        <w:t xml:space="preserve">Le Amministrazioni possono procedere alla revisione complessiva dei contenuti, e dei profili esecutivi della presente Convenzione in </w:t>
      </w:r>
      <w:r>
        <w:rPr>
          <w:rFonts w:ascii="Tahoma" w:eastAsia="Times New Roman" w:hAnsi="Tahoma" w:cs="Tahoma"/>
          <w:bCs/>
          <w:sz w:val="20"/>
          <w:szCs w:val="20"/>
        </w:rPr>
        <w:t>qualsiasi momento</w:t>
      </w:r>
      <w:r w:rsidRPr="00C92A00">
        <w:rPr>
          <w:rFonts w:ascii="Tahoma" w:eastAsia="Times New Roman" w:hAnsi="Tahoma" w:cs="Tahoma"/>
          <w:bCs/>
          <w:sz w:val="20"/>
          <w:szCs w:val="20"/>
        </w:rPr>
        <w:t>, al fine di valutare:</w:t>
      </w:r>
    </w:p>
    <w:p w14:paraId="789B8E52" w14:textId="5944A9AA" w:rsidR="00C92A00" w:rsidRPr="00C92A00" w:rsidRDefault="00C92A00" w:rsidP="00C92A00">
      <w:pPr>
        <w:spacing w:after="0" w:line="360" w:lineRule="auto"/>
        <w:jc w:val="both"/>
        <w:rPr>
          <w:rFonts w:ascii="Tahoma" w:eastAsia="Times New Roman" w:hAnsi="Tahoma" w:cs="Tahoma"/>
          <w:bCs/>
          <w:sz w:val="20"/>
          <w:szCs w:val="20"/>
        </w:rPr>
      </w:pPr>
      <w:r w:rsidRPr="00C92A00">
        <w:rPr>
          <w:rFonts w:ascii="Tahoma" w:eastAsia="Times New Roman" w:hAnsi="Tahoma" w:cs="Tahoma"/>
          <w:bCs/>
          <w:sz w:val="20"/>
          <w:szCs w:val="20"/>
        </w:rPr>
        <w:t xml:space="preserve">a) </w:t>
      </w:r>
      <w:r>
        <w:rPr>
          <w:rFonts w:ascii="Tahoma" w:eastAsia="Times New Roman" w:hAnsi="Tahoma" w:cs="Tahoma"/>
          <w:bCs/>
          <w:sz w:val="20"/>
          <w:szCs w:val="20"/>
        </w:rPr>
        <w:t>la possibile risoluzione;</w:t>
      </w:r>
    </w:p>
    <w:p w14:paraId="02AFCC70" w14:textId="68CA0244" w:rsidR="00C92A00" w:rsidRPr="00C92A00" w:rsidRDefault="00C92A00" w:rsidP="00C92A00">
      <w:pPr>
        <w:spacing w:after="0" w:line="360" w:lineRule="auto"/>
        <w:jc w:val="both"/>
        <w:rPr>
          <w:rFonts w:ascii="Tahoma" w:eastAsia="Times New Roman" w:hAnsi="Tahoma" w:cs="Tahoma"/>
          <w:bCs/>
          <w:sz w:val="20"/>
          <w:szCs w:val="20"/>
        </w:rPr>
      </w:pPr>
      <w:r w:rsidRPr="00C92A00">
        <w:rPr>
          <w:rFonts w:ascii="Tahoma" w:eastAsia="Times New Roman" w:hAnsi="Tahoma" w:cs="Tahoma"/>
          <w:bCs/>
          <w:sz w:val="20"/>
          <w:szCs w:val="20"/>
        </w:rPr>
        <w:t>b) una complessiva riformulazione, con definizione di conforme processo approvativ</w:t>
      </w:r>
      <w:r>
        <w:rPr>
          <w:rFonts w:ascii="Tahoma" w:eastAsia="Times New Roman" w:hAnsi="Tahoma" w:cs="Tahoma"/>
          <w:bCs/>
          <w:sz w:val="20"/>
          <w:szCs w:val="20"/>
        </w:rPr>
        <w:t>o</w:t>
      </w:r>
      <w:r w:rsidRPr="00C92A00">
        <w:rPr>
          <w:rFonts w:ascii="Tahoma" w:eastAsia="Times New Roman" w:hAnsi="Tahoma" w:cs="Tahoma"/>
          <w:bCs/>
          <w:sz w:val="20"/>
          <w:szCs w:val="20"/>
        </w:rPr>
        <w:t xml:space="preserve"> da parte degli organi competenti delle Amministrazioni stesse.</w:t>
      </w:r>
    </w:p>
    <w:p w14:paraId="7C5817FB" w14:textId="1895EABC" w:rsidR="00C1075D" w:rsidRDefault="00C1075D" w:rsidP="00CC60C7">
      <w:pPr>
        <w:spacing w:after="0" w:line="360" w:lineRule="auto"/>
        <w:jc w:val="both"/>
        <w:rPr>
          <w:rFonts w:ascii="Tahoma" w:eastAsia="Times New Roman" w:hAnsi="Tahoma" w:cs="Tahoma"/>
          <w:b/>
          <w:sz w:val="20"/>
          <w:szCs w:val="20"/>
        </w:rPr>
      </w:pPr>
    </w:p>
    <w:p w14:paraId="4A5AEF8F" w14:textId="67BF184A" w:rsidR="005160FC" w:rsidRDefault="005160FC" w:rsidP="005160FC">
      <w:pPr>
        <w:spacing w:after="0" w:line="360" w:lineRule="auto"/>
        <w:jc w:val="center"/>
        <w:rPr>
          <w:rFonts w:ascii="Tahoma" w:eastAsia="Times New Roman" w:hAnsi="Tahoma" w:cs="Tahoma"/>
          <w:b/>
          <w:sz w:val="20"/>
          <w:szCs w:val="20"/>
        </w:rPr>
      </w:pPr>
      <w:r w:rsidRPr="005160FC">
        <w:rPr>
          <w:rFonts w:ascii="Tahoma" w:eastAsia="Times New Roman" w:hAnsi="Tahoma" w:cs="Tahoma"/>
          <w:b/>
          <w:sz w:val="20"/>
          <w:szCs w:val="20"/>
        </w:rPr>
        <w:t xml:space="preserve">Art. </w:t>
      </w:r>
      <w:r>
        <w:rPr>
          <w:rFonts w:ascii="Tahoma" w:eastAsia="Times New Roman" w:hAnsi="Tahoma" w:cs="Tahoma"/>
          <w:b/>
          <w:sz w:val="20"/>
          <w:szCs w:val="20"/>
        </w:rPr>
        <w:t>10</w:t>
      </w:r>
    </w:p>
    <w:p w14:paraId="0D847EBC" w14:textId="77777777" w:rsidR="00ED0035" w:rsidRPr="00ED0035" w:rsidRDefault="00ED0035" w:rsidP="00ED0035">
      <w:pPr>
        <w:spacing w:after="0" w:line="360" w:lineRule="auto"/>
        <w:jc w:val="center"/>
        <w:rPr>
          <w:rFonts w:ascii="Tahoma" w:eastAsia="Times New Roman" w:hAnsi="Tahoma" w:cs="Tahoma"/>
          <w:b/>
          <w:sz w:val="20"/>
          <w:szCs w:val="20"/>
        </w:rPr>
      </w:pPr>
      <w:r w:rsidRPr="00ED0035">
        <w:rPr>
          <w:rFonts w:ascii="Tahoma" w:eastAsia="Times New Roman" w:hAnsi="Tahoma" w:cs="Tahoma"/>
          <w:b/>
          <w:sz w:val="20"/>
          <w:szCs w:val="20"/>
        </w:rPr>
        <w:t>Eventuali modifiche della convenzione</w:t>
      </w:r>
    </w:p>
    <w:p w14:paraId="2913C1E6" w14:textId="2EFEA7B9" w:rsidR="00ED0035" w:rsidRPr="00ED0035" w:rsidRDefault="00ED0035" w:rsidP="00ED0035">
      <w:pPr>
        <w:spacing w:after="0" w:line="360" w:lineRule="auto"/>
        <w:jc w:val="both"/>
        <w:rPr>
          <w:rFonts w:ascii="Tahoma" w:eastAsia="Times New Roman" w:hAnsi="Tahoma" w:cs="Tahoma"/>
          <w:bCs/>
          <w:sz w:val="20"/>
          <w:szCs w:val="20"/>
        </w:rPr>
      </w:pPr>
      <w:r w:rsidRPr="00ED0035">
        <w:rPr>
          <w:rFonts w:ascii="Tahoma" w:eastAsia="Times New Roman" w:hAnsi="Tahoma" w:cs="Tahoma"/>
          <w:bCs/>
          <w:sz w:val="20"/>
          <w:szCs w:val="20"/>
        </w:rPr>
        <w:t>Qualora esigenze funzionali od operative rendano necessaria la modifica della presente Convenzione, con particolare riferimento ai soggetti individuati, ai tempi di lavoro ed alle modalità di utilizzo, le Amministrazioni provvedono, se possibile, alla modifica della stessa con atti integrativi o comunque modificativi della stessa natura, previa adozione di specifici provvedimenti da parte dei competenti Organi dei due Comuni. Non sono considerate modifiche le variazioni di natura operativa ed organizzativa gestibili direttamente dalle Amministrazioni.</w:t>
      </w:r>
    </w:p>
    <w:p w14:paraId="63351B37" w14:textId="1C18EAB7" w:rsidR="005160FC" w:rsidRDefault="005160FC" w:rsidP="00CC60C7">
      <w:pPr>
        <w:spacing w:after="0" w:line="360" w:lineRule="auto"/>
        <w:jc w:val="both"/>
        <w:rPr>
          <w:rFonts w:ascii="Tahoma" w:eastAsia="Times New Roman" w:hAnsi="Tahoma" w:cs="Tahoma"/>
          <w:b/>
          <w:sz w:val="20"/>
          <w:szCs w:val="20"/>
        </w:rPr>
      </w:pPr>
    </w:p>
    <w:p w14:paraId="02F13691" w14:textId="0B7424EE" w:rsidR="009A4B04" w:rsidRDefault="009A4B04" w:rsidP="009A4B04">
      <w:pPr>
        <w:spacing w:after="0" w:line="360" w:lineRule="auto"/>
        <w:jc w:val="center"/>
        <w:rPr>
          <w:rFonts w:ascii="Tahoma" w:eastAsia="Times New Roman" w:hAnsi="Tahoma" w:cs="Tahoma"/>
          <w:b/>
          <w:sz w:val="20"/>
          <w:szCs w:val="20"/>
        </w:rPr>
      </w:pPr>
      <w:r w:rsidRPr="009A4B04">
        <w:rPr>
          <w:rFonts w:ascii="Tahoma" w:eastAsia="Times New Roman" w:hAnsi="Tahoma" w:cs="Tahoma"/>
          <w:b/>
          <w:sz w:val="20"/>
          <w:szCs w:val="20"/>
        </w:rPr>
        <w:t>Art. 1</w:t>
      </w:r>
      <w:r>
        <w:rPr>
          <w:rFonts w:ascii="Tahoma" w:eastAsia="Times New Roman" w:hAnsi="Tahoma" w:cs="Tahoma"/>
          <w:b/>
          <w:sz w:val="20"/>
          <w:szCs w:val="20"/>
        </w:rPr>
        <w:t>1</w:t>
      </w:r>
    </w:p>
    <w:p w14:paraId="40B822FE" w14:textId="77777777" w:rsidR="001C2A95" w:rsidRPr="001C2A95" w:rsidRDefault="001C2A95" w:rsidP="001C2A95">
      <w:pPr>
        <w:spacing w:after="0" w:line="360" w:lineRule="auto"/>
        <w:jc w:val="center"/>
        <w:rPr>
          <w:rFonts w:ascii="Tahoma" w:eastAsia="Times New Roman" w:hAnsi="Tahoma" w:cs="Tahoma"/>
          <w:b/>
          <w:sz w:val="20"/>
          <w:szCs w:val="20"/>
        </w:rPr>
      </w:pPr>
      <w:r w:rsidRPr="001C2A95">
        <w:rPr>
          <w:rFonts w:ascii="Tahoma" w:eastAsia="Times New Roman" w:hAnsi="Tahoma" w:cs="Tahoma"/>
          <w:b/>
          <w:sz w:val="20"/>
          <w:szCs w:val="20"/>
        </w:rPr>
        <w:t>Inadempimenti</w:t>
      </w:r>
    </w:p>
    <w:p w14:paraId="1E33896F" w14:textId="77777777" w:rsidR="007F7FB1" w:rsidRDefault="001C2A95" w:rsidP="001C2A95">
      <w:pPr>
        <w:spacing w:after="0" w:line="360" w:lineRule="auto"/>
        <w:jc w:val="both"/>
        <w:rPr>
          <w:rFonts w:ascii="Tahoma" w:eastAsia="Times New Roman" w:hAnsi="Tahoma" w:cs="Tahoma"/>
          <w:bCs/>
          <w:sz w:val="20"/>
          <w:szCs w:val="20"/>
        </w:rPr>
      </w:pPr>
      <w:r w:rsidRPr="001C2A95">
        <w:rPr>
          <w:rFonts w:ascii="Tahoma" w:eastAsia="Times New Roman" w:hAnsi="Tahoma" w:cs="Tahoma"/>
          <w:bCs/>
          <w:sz w:val="20"/>
          <w:szCs w:val="20"/>
        </w:rPr>
        <w:t>Qualora una delle parti rilevi uno degli inadempimenti di lieve rilevanza di seguito specificati, imputabili all’altra, provvede a contestarli formalmente, al fine di rimuoverne cause ed effetti per quanto possibile:</w:t>
      </w:r>
    </w:p>
    <w:p w14:paraId="2536D979" w14:textId="77777777" w:rsidR="007F7FB1" w:rsidRDefault="001C2A95" w:rsidP="001C2A95">
      <w:pPr>
        <w:spacing w:after="0" w:line="360" w:lineRule="auto"/>
        <w:jc w:val="both"/>
        <w:rPr>
          <w:rFonts w:ascii="Tahoma" w:eastAsia="Times New Roman" w:hAnsi="Tahoma" w:cs="Tahoma"/>
          <w:bCs/>
          <w:sz w:val="20"/>
          <w:szCs w:val="20"/>
        </w:rPr>
      </w:pPr>
      <w:r w:rsidRPr="001C2A95">
        <w:rPr>
          <w:rFonts w:ascii="Tahoma" w:eastAsia="Times New Roman" w:hAnsi="Tahoma" w:cs="Tahoma"/>
          <w:bCs/>
          <w:sz w:val="20"/>
          <w:szCs w:val="20"/>
        </w:rPr>
        <w:t xml:space="preserve">a) gestione carente o incompleta delle comunicazioni inerenti il personale utilizzato; </w:t>
      </w:r>
    </w:p>
    <w:p w14:paraId="3FA8D72C" w14:textId="4D17CD96" w:rsidR="009A4B04" w:rsidRPr="001C2A95" w:rsidRDefault="001C2A95" w:rsidP="001C2A95">
      <w:pPr>
        <w:spacing w:after="0" w:line="360" w:lineRule="auto"/>
        <w:jc w:val="both"/>
        <w:rPr>
          <w:rFonts w:ascii="Tahoma" w:eastAsia="Times New Roman" w:hAnsi="Tahoma" w:cs="Tahoma"/>
          <w:bCs/>
          <w:sz w:val="20"/>
          <w:szCs w:val="20"/>
        </w:rPr>
      </w:pPr>
      <w:r w:rsidRPr="001C2A95">
        <w:rPr>
          <w:rFonts w:ascii="Tahoma" w:eastAsia="Times New Roman" w:hAnsi="Tahoma" w:cs="Tahoma"/>
          <w:bCs/>
          <w:sz w:val="20"/>
          <w:szCs w:val="20"/>
        </w:rPr>
        <w:t>b) gestione carente o incompleta delle operazioni inerenti la gestione degli oneri finanziari riferibili alla presente Convenzione.</w:t>
      </w:r>
    </w:p>
    <w:p w14:paraId="5F374D5B" w14:textId="214CBE92" w:rsidR="009A4B04" w:rsidRDefault="009A4B04" w:rsidP="00CC60C7">
      <w:pPr>
        <w:spacing w:after="0" w:line="360" w:lineRule="auto"/>
        <w:jc w:val="both"/>
        <w:rPr>
          <w:rFonts w:ascii="Tahoma" w:eastAsia="Times New Roman" w:hAnsi="Tahoma" w:cs="Tahoma"/>
          <w:b/>
          <w:sz w:val="20"/>
          <w:szCs w:val="20"/>
        </w:rPr>
      </w:pPr>
    </w:p>
    <w:p w14:paraId="1837ADED" w14:textId="6AABFC81" w:rsidR="00030D97" w:rsidRDefault="00030D97" w:rsidP="00030D97">
      <w:pPr>
        <w:spacing w:after="0" w:line="360" w:lineRule="auto"/>
        <w:jc w:val="center"/>
        <w:rPr>
          <w:rFonts w:ascii="Tahoma" w:eastAsia="Times New Roman" w:hAnsi="Tahoma" w:cs="Tahoma"/>
          <w:b/>
          <w:sz w:val="20"/>
          <w:szCs w:val="20"/>
        </w:rPr>
      </w:pPr>
      <w:bookmarkStart w:id="1" w:name="_Hlk116484895"/>
      <w:r w:rsidRPr="00030D97">
        <w:rPr>
          <w:rFonts w:ascii="Tahoma" w:eastAsia="Times New Roman" w:hAnsi="Tahoma" w:cs="Tahoma"/>
          <w:b/>
          <w:sz w:val="20"/>
          <w:szCs w:val="20"/>
        </w:rPr>
        <w:t>Art. 1</w:t>
      </w:r>
      <w:r>
        <w:rPr>
          <w:rFonts w:ascii="Tahoma" w:eastAsia="Times New Roman" w:hAnsi="Tahoma" w:cs="Tahoma"/>
          <w:b/>
          <w:sz w:val="20"/>
          <w:szCs w:val="20"/>
        </w:rPr>
        <w:t>2</w:t>
      </w:r>
    </w:p>
    <w:bookmarkEnd w:id="1"/>
    <w:p w14:paraId="33E25507" w14:textId="77777777" w:rsidR="00B02BD4" w:rsidRPr="00B02BD4" w:rsidRDefault="00B02BD4" w:rsidP="00B02BD4">
      <w:pPr>
        <w:spacing w:after="0" w:line="360" w:lineRule="auto"/>
        <w:jc w:val="center"/>
        <w:rPr>
          <w:rFonts w:ascii="Tahoma" w:eastAsia="Times New Roman" w:hAnsi="Tahoma" w:cs="Tahoma"/>
          <w:b/>
          <w:sz w:val="20"/>
          <w:szCs w:val="20"/>
        </w:rPr>
      </w:pPr>
      <w:r w:rsidRPr="00B02BD4">
        <w:rPr>
          <w:rFonts w:ascii="Tahoma" w:eastAsia="Times New Roman" w:hAnsi="Tahoma" w:cs="Tahoma"/>
          <w:b/>
          <w:sz w:val="20"/>
          <w:szCs w:val="20"/>
        </w:rPr>
        <w:t>Risoluzione</w:t>
      </w:r>
    </w:p>
    <w:p w14:paraId="0CE4B939" w14:textId="77777777" w:rsidR="00B02BD4" w:rsidRPr="00B02BD4" w:rsidRDefault="00B02BD4" w:rsidP="00B02BD4">
      <w:pPr>
        <w:spacing w:after="0" w:line="360" w:lineRule="auto"/>
        <w:jc w:val="both"/>
        <w:rPr>
          <w:rFonts w:ascii="Tahoma" w:eastAsia="Times New Roman" w:hAnsi="Tahoma" w:cs="Tahoma"/>
          <w:bCs/>
          <w:sz w:val="20"/>
          <w:szCs w:val="20"/>
        </w:rPr>
      </w:pPr>
      <w:r w:rsidRPr="00B02BD4">
        <w:rPr>
          <w:rFonts w:ascii="Tahoma" w:eastAsia="Times New Roman" w:hAnsi="Tahoma" w:cs="Tahoma"/>
          <w:bCs/>
          <w:sz w:val="20"/>
          <w:szCs w:val="20"/>
        </w:rPr>
        <w:t>La convenzione sarà risolta nei seguenti casi:</w:t>
      </w:r>
    </w:p>
    <w:p w14:paraId="3DA284B7" w14:textId="4D67AD04" w:rsidR="00B02BD4" w:rsidRPr="00B02BD4" w:rsidRDefault="00B02BD4" w:rsidP="00B02BD4">
      <w:pPr>
        <w:pStyle w:val="Paragrafoelenco"/>
        <w:numPr>
          <w:ilvl w:val="0"/>
          <w:numId w:val="14"/>
        </w:numPr>
        <w:spacing w:after="0" w:line="360" w:lineRule="auto"/>
        <w:rPr>
          <w:rFonts w:ascii="Tahoma" w:eastAsia="Times New Roman" w:hAnsi="Tahoma" w:cs="Tahoma"/>
          <w:bCs/>
          <w:sz w:val="20"/>
          <w:szCs w:val="20"/>
        </w:rPr>
      </w:pPr>
      <w:r w:rsidRPr="00B02BD4">
        <w:rPr>
          <w:rFonts w:ascii="Tahoma" w:eastAsia="Times New Roman" w:hAnsi="Tahoma" w:cs="Tahoma"/>
          <w:bCs/>
          <w:sz w:val="20"/>
          <w:szCs w:val="20"/>
        </w:rPr>
        <w:t>per scadenza della presente convenzione;</w:t>
      </w:r>
    </w:p>
    <w:p w14:paraId="1ECA457C" w14:textId="7C1413EF" w:rsidR="00B02BD4" w:rsidRPr="00B02BD4" w:rsidRDefault="00B02BD4" w:rsidP="00B02BD4">
      <w:pPr>
        <w:pStyle w:val="Paragrafoelenco"/>
        <w:numPr>
          <w:ilvl w:val="0"/>
          <w:numId w:val="14"/>
        </w:numPr>
        <w:spacing w:after="0" w:line="360" w:lineRule="auto"/>
        <w:rPr>
          <w:rFonts w:ascii="Tahoma" w:eastAsia="Times New Roman" w:hAnsi="Tahoma" w:cs="Tahoma"/>
          <w:bCs/>
          <w:sz w:val="20"/>
          <w:szCs w:val="20"/>
        </w:rPr>
      </w:pPr>
      <w:r w:rsidRPr="00B02BD4">
        <w:rPr>
          <w:rFonts w:ascii="Tahoma" w:eastAsia="Times New Roman" w:hAnsi="Tahoma" w:cs="Tahoma"/>
          <w:bCs/>
          <w:sz w:val="20"/>
          <w:szCs w:val="20"/>
        </w:rPr>
        <w:t>per risoluzione consensuale della convenzione da parte degli enti convenzionati;</w:t>
      </w:r>
    </w:p>
    <w:p w14:paraId="50D87A31" w14:textId="3A60EC9E" w:rsidR="00B02BD4" w:rsidRPr="00B02BD4" w:rsidRDefault="00B02BD4" w:rsidP="00B02BD4">
      <w:pPr>
        <w:pStyle w:val="Paragrafoelenco"/>
        <w:numPr>
          <w:ilvl w:val="0"/>
          <w:numId w:val="14"/>
        </w:numPr>
        <w:spacing w:after="0" w:line="360" w:lineRule="auto"/>
        <w:rPr>
          <w:rFonts w:ascii="Tahoma" w:eastAsia="Times New Roman" w:hAnsi="Tahoma" w:cs="Tahoma"/>
          <w:bCs/>
          <w:sz w:val="20"/>
          <w:szCs w:val="20"/>
        </w:rPr>
      </w:pPr>
      <w:r w:rsidRPr="00B02BD4">
        <w:rPr>
          <w:rFonts w:ascii="Tahoma" w:eastAsia="Times New Roman" w:hAnsi="Tahoma" w:cs="Tahoma"/>
          <w:bCs/>
          <w:sz w:val="20"/>
          <w:szCs w:val="20"/>
        </w:rPr>
        <w:t>recesso unilaterale da parte degli enti convenzionati;</w:t>
      </w:r>
    </w:p>
    <w:p w14:paraId="44A33144" w14:textId="2BDA78D0" w:rsidR="00B02BD4" w:rsidRPr="00B02BD4" w:rsidRDefault="00B02BD4" w:rsidP="00B02BD4">
      <w:pPr>
        <w:pStyle w:val="Paragrafoelenco"/>
        <w:numPr>
          <w:ilvl w:val="0"/>
          <w:numId w:val="12"/>
        </w:numPr>
        <w:spacing w:after="0" w:line="360" w:lineRule="auto"/>
        <w:rPr>
          <w:rFonts w:ascii="Tahoma" w:eastAsia="Times New Roman" w:hAnsi="Tahoma" w:cs="Tahoma"/>
          <w:bCs/>
          <w:sz w:val="20"/>
          <w:szCs w:val="20"/>
        </w:rPr>
      </w:pPr>
      <w:r>
        <w:rPr>
          <w:rFonts w:ascii="Tahoma" w:eastAsia="Times New Roman" w:hAnsi="Tahoma" w:cs="Tahoma"/>
          <w:bCs/>
          <w:sz w:val="20"/>
          <w:szCs w:val="20"/>
        </w:rPr>
        <w:t>recesso unilaterale da parte del personale impiegato;</w:t>
      </w:r>
    </w:p>
    <w:p w14:paraId="6302E077" w14:textId="1FC243A0" w:rsidR="00030D97" w:rsidRPr="00B02BD4" w:rsidRDefault="00B02BD4" w:rsidP="00B02BD4">
      <w:pPr>
        <w:spacing w:after="0" w:line="360" w:lineRule="auto"/>
        <w:jc w:val="both"/>
        <w:rPr>
          <w:rFonts w:ascii="Tahoma" w:eastAsia="Times New Roman" w:hAnsi="Tahoma" w:cs="Tahoma"/>
          <w:bCs/>
          <w:sz w:val="20"/>
          <w:szCs w:val="20"/>
        </w:rPr>
      </w:pPr>
      <w:r w:rsidRPr="00B02BD4">
        <w:rPr>
          <w:rFonts w:ascii="Tahoma" w:eastAsia="Times New Roman" w:hAnsi="Tahoma" w:cs="Tahoma"/>
          <w:bCs/>
          <w:sz w:val="20"/>
          <w:szCs w:val="20"/>
        </w:rPr>
        <w:lastRenderedPageBreak/>
        <w:t>La risoluzione/recesso/rinuncia dalla presente convenzione sono subordinat</w:t>
      </w:r>
      <w:r>
        <w:rPr>
          <w:rFonts w:ascii="Tahoma" w:eastAsia="Times New Roman" w:hAnsi="Tahoma" w:cs="Tahoma"/>
          <w:bCs/>
          <w:sz w:val="20"/>
          <w:szCs w:val="20"/>
        </w:rPr>
        <w:t>i</w:t>
      </w:r>
      <w:r w:rsidRPr="00B02BD4">
        <w:rPr>
          <w:rFonts w:ascii="Tahoma" w:eastAsia="Times New Roman" w:hAnsi="Tahoma" w:cs="Tahoma"/>
          <w:bCs/>
          <w:sz w:val="20"/>
          <w:szCs w:val="20"/>
        </w:rPr>
        <w:t xml:space="preserve"> all’osservanza del periodo di preavviso a mezzo PEC di almeno 15 giorni solari, fatte salve le diverse ipotesi previste dalla legge o dai contratti collettivi.</w:t>
      </w:r>
    </w:p>
    <w:p w14:paraId="705A5219" w14:textId="71AFB16C" w:rsidR="009A4B04" w:rsidRDefault="009A4B04" w:rsidP="00CC60C7">
      <w:pPr>
        <w:spacing w:after="0" w:line="360" w:lineRule="auto"/>
        <w:jc w:val="both"/>
        <w:rPr>
          <w:rFonts w:ascii="Tahoma" w:eastAsia="Times New Roman" w:hAnsi="Tahoma" w:cs="Tahoma"/>
          <w:b/>
          <w:sz w:val="20"/>
          <w:szCs w:val="20"/>
        </w:rPr>
      </w:pPr>
    </w:p>
    <w:p w14:paraId="7C365F96" w14:textId="64CE2074" w:rsidR="00263192" w:rsidRDefault="00263192" w:rsidP="00263192">
      <w:pPr>
        <w:spacing w:after="0" w:line="360" w:lineRule="auto"/>
        <w:jc w:val="center"/>
        <w:rPr>
          <w:rFonts w:ascii="Tahoma" w:eastAsia="Times New Roman" w:hAnsi="Tahoma" w:cs="Tahoma"/>
          <w:b/>
          <w:sz w:val="20"/>
          <w:szCs w:val="20"/>
        </w:rPr>
      </w:pPr>
      <w:r w:rsidRPr="00263192">
        <w:rPr>
          <w:rFonts w:ascii="Tahoma" w:eastAsia="Times New Roman" w:hAnsi="Tahoma" w:cs="Tahoma"/>
          <w:b/>
          <w:sz w:val="20"/>
          <w:szCs w:val="20"/>
        </w:rPr>
        <w:t>Art. 1</w:t>
      </w:r>
      <w:r>
        <w:rPr>
          <w:rFonts w:ascii="Tahoma" w:eastAsia="Times New Roman" w:hAnsi="Tahoma" w:cs="Tahoma"/>
          <w:b/>
          <w:sz w:val="20"/>
          <w:szCs w:val="20"/>
        </w:rPr>
        <w:t>3</w:t>
      </w:r>
    </w:p>
    <w:p w14:paraId="3C5B31D7" w14:textId="77777777" w:rsidR="002B0718" w:rsidRPr="002B0718" w:rsidRDefault="002B0718" w:rsidP="002B0718">
      <w:pPr>
        <w:spacing w:after="0" w:line="360" w:lineRule="auto"/>
        <w:jc w:val="center"/>
        <w:rPr>
          <w:rFonts w:ascii="Tahoma" w:eastAsia="Times New Roman" w:hAnsi="Tahoma" w:cs="Tahoma"/>
          <w:b/>
          <w:sz w:val="20"/>
          <w:szCs w:val="20"/>
        </w:rPr>
      </w:pPr>
      <w:r w:rsidRPr="002B0718">
        <w:rPr>
          <w:rFonts w:ascii="Tahoma" w:eastAsia="Times New Roman" w:hAnsi="Tahoma" w:cs="Tahoma"/>
          <w:b/>
          <w:sz w:val="20"/>
          <w:szCs w:val="20"/>
        </w:rPr>
        <w:t>Modalità di risoluzione delle controversie</w:t>
      </w:r>
    </w:p>
    <w:p w14:paraId="462B70B9" w14:textId="1193EBC3" w:rsidR="00263192" w:rsidRPr="002B0718" w:rsidRDefault="002B0718" w:rsidP="002B0718">
      <w:pPr>
        <w:spacing w:after="0" w:line="360" w:lineRule="auto"/>
        <w:jc w:val="both"/>
        <w:rPr>
          <w:rFonts w:ascii="Tahoma" w:eastAsia="Times New Roman" w:hAnsi="Tahoma" w:cs="Tahoma"/>
          <w:bCs/>
          <w:sz w:val="20"/>
          <w:szCs w:val="20"/>
        </w:rPr>
      </w:pPr>
      <w:r w:rsidRPr="002B0718">
        <w:rPr>
          <w:rFonts w:ascii="Tahoma" w:eastAsia="Times New Roman" w:hAnsi="Tahoma" w:cs="Tahoma"/>
          <w:bCs/>
          <w:sz w:val="20"/>
          <w:szCs w:val="20"/>
        </w:rPr>
        <w:t>Tutte le controversie che dovessero insorgere fra le Amministrazioni in relazione all’esecuzione della presente Convenzione dovranno essere risolte con bonaria composizione. Qualora non si raggiunga un accordo, si procederà a risoluzione della Convenzione.</w:t>
      </w:r>
    </w:p>
    <w:p w14:paraId="37DC1B5E" w14:textId="11C5C40D" w:rsidR="00263192" w:rsidRDefault="00263192" w:rsidP="00CC60C7">
      <w:pPr>
        <w:spacing w:after="0" w:line="360" w:lineRule="auto"/>
        <w:jc w:val="both"/>
        <w:rPr>
          <w:rFonts w:ascii="Tahoma" w:eastAsia="Times New Roman" w:hAnsi="Tahoma" w:cs="Tahoma"/>
          <w:b/>
          <w:sz w:val="20"/>
          <w:szCs w:val="20"/>
        </w:rPr>
      </w:pPr>
    </w:p>
    <w:p w14:paraId="6AFEDF4B" w14:textId="35ABD537" w:rsidR="00AD6D6F" w:rsidRDefault="002D0983" w:rsidP="002D0983">
      <w:pPr>
        <w:spacing w:after="0" w:line="360" w:lineRule="auto"/>
        <w:jc w:val="center"/>
        <w:rPr>
          <w:rFonts w:ascii="Tahoma" w:eastAsia="Times New Roman" w:hAnsi="Tahoma" w:cs="Tahoma"/>
          <w:b/>
          <w:sz w:val="20"/>
          <w:szCs w:val="20"/>
        </w:rPr>
      </w:pPr>
      <w:r w:rsidRPr="002D0983">
        <w:rPr>
          <w:rFonts w:ascii="Tahoma" w:eastAsia="Times New Roman" w:hAnsi="Tahoma" w:cs="Tahoma"/>
          <w:b/>
          <w:sz w:val="20"/>
          <w:szCs w:val="20"/>
        </w:rPr>
        <w:t>Art. 1</w:t>
      </w:r>
      <w:r>
        <w:rPr>
          <w:rFonts w:ascii="Tahoma" w:eastAsia="Times New Roman" w:hAnsi="Tahoma" w:cs="Tahoma"/>
          <w:b/>
          <w:sz w:val="20"/>
          <w:szCs w:val="20"/>
        </w:rPr>
        <w:t>4</w:t>
      </w:r>
    </w:p>
    <w:p w14:paraId="0C8BED6C" w14:textId="77777777" w:rsidR="00515CFF" w:rsidRPr="00515CFF" w:rsidRDefault="00515CFF" w:rsidP="00515CFF">
      <w:pPr>
        <w:spacing w:after="0" w:line="360" w:lineRule="auto"/>
        <w:jc w:val="center"/>
        <w:rPr>
          <w:rFonts w:ascii="Tahoma" w:eastAsia="Times New Roman" w:hAnsi="Tahoma" w:cs="Tahoma"/>
          <w:b/>
          <w:sz w:val="20"/>
          <w:szCs w:val="20"/>
        </w:rPr>
      </w:pPr>
      <w:r w:rsidRPr="00515CFF">
        <w:rPr>
          <w:rFonts w:ascii="Tahoma" w:eastAsia="Times New Roman" w:hAnsi="Tahoma" w:cs="Tahoma"/>
          <w:b/>
          <w:sz w:val="20"/>
          <w:szCs w:val="20"/>
        </w:rPr>
        <w:t>Disposizioni generali e finali</w:t>
      </w:r>
    </w:p>
    <w:p w14:paraId="14C6A6A2" w14:textId="3DDA237F" w:rsidR="00AD6D6F" w:rsidRPr="00515CFF" w:rsidRDefault="00515CFF" w:rsidP="00515CFF">
      <w:pPr>
        <w:spacing w:after="0" w:line="360" w:lineRule="auto"/>
        <w:jc w:val="both"/>
        <w:rPr>
          <w:rFonts w:ascii="Tahoma" w:eastAsia="Times New Roman" w:hAnsi="Tahoma" w:cs="Tahoma"/>
          <w:bCs/>
          <w:sz w:val="20"/>
          <w:szCs w:val="20"/>
        </w:rPr>
      </w:pPr>
      <w:r w:rsidRPr="00515CFF">
        <w:rPr>
          <w:rFonts w:ascii="Tahoma" w:eastAsia="Times New Roman" w:hAnsi="Tahoma" w:cs="Tahoma"/>
          <w:bCs/>
          <w:sz w:val="20"/>
          <w:szCs w:val="20"/>
        </w:rPr>
        <w:t>Per quanto non previsto dalla presente Convenzione, si fa riferimento alla normativa legislativa, regolamentare e contrattuale in materia di personale degli Enti Locali</w:t>
      </w:r>
      <w:r w:rsidR="00DD6EE3">
        <w:rPr>
          <w:rFonts w:ascii="Tahoma" w:eastAsia="Times New Roman" w:hAnsi="Tahoma" w:cs="Tahoma"/>
          <w:bCs/>
          <w:sz w:val="20"/>
          <w:szCs w:val="20"/>
        </w:rPr>
        <w:t>.</w:t>
      </w:r>
      <w:r w:rsidRPr="00515CFF">
        <w:rPr>
          <w:rFonts w:ascii="Tahoma" w:eastAsia="Times New Roman" w:hAnsi="Tahoma" w:cs="Tahoma"/>
          <w:bCs/>
          <w:sz w:val="20"/>
          <w:szCs w:val="20"/>
        </w:rPr>
        <w:t xml:space="preserve"> La presente Convenzione sarà registrata solo in caso d’uso a termini di legge. Le spese inerenti alla stipulazione della presente Convenzione, qualora si richieda la registrazione in caso d’uso, saranno poste a carico degli Enti sopra costituiti in parti eguali.</w:t>
      </w:r>
    </w:p>
    <w:p w14:paraId="4B550035" w14:textId="16F5D044" w:rsidR="00AD6D6F" w:rsidRDefault="00AD6D6F" w:rsidP="00CC60C7">
      <w:pPr>
        <w:spacing w:after="0" w:line="360" w:lineRule="auto"/>
        <w:jc w:val="both"/>
        <w:rPr>
          <w:rFonts w:ascii="Tahoma" w:eastAsia="Times New Roman" w:hAnsi="Tahoma" w:cs="Tahoma"/>
          <w:b/>
          <w:sz w:val="20"/>
          <w:szCs w:val="20"/>
        </w:rPr>
      </w:pPr>
    </w:p>
    <w:p w14:paraId="6F438077" w14:textId="77777777" w:rsidR="00AD6D6F" w:rsidRPr="0056740B" w:rsidRDefault="00AD6D6F" w:rsidP="00CC60C7">
      <w:pPr>
        <w:spacing w:after="0" w:line="360" w:lineRule="auto"/>
        <w:jc w:val="both"/>
        <w:rPr>
          <w:rFonts w:ascii="Tahoma" w:eastAsia="Times New Roman" w:hAnsi="Tahoma" w:cs="Tahoma"/>
          <w:b/>
          <w:sz w:val="20"/>
          <w:szCs w:val="20"/>
        </w:rPr>
      </w:pPr>
    </w:p>
    <w:p w14:paraId="32FB8280" w14:textId="0DBED57C" w:rsidR="002208FE" w:rsidRPr="0056740B" w:rsidRDefault="00017591" w:rsidP="00CC60C7">
      <w:pPr>
        <w:spacing w:after="0" w:line="360" w:lineRule="auto"/>
        <w:jc w:val="both"/>
        <w:rPr>
          <w:rFonts w:ascii="Tahoma" w:eastAsia="Times New Roman" w:hAnsi="Tahoma" w:cs="Tahoma"/>
          <w:bCs/>
          <w:sz w:val="20"/>
          <w:szCs w:val="20"/>
        </w:rPr>
      </w:pPr>
      <w:r w:rsidRPr="0056740B">
        <w:rPr>
          <w:rFonts w:ascii="Tahoma" w:eastAsia="Times New Roman" w:hAnsi="Tahoma" w:cs="Tahoma"/>
          <w:bCs/>
          <w:sz w:val="20"/>
          <w:szCs w:val="20"/>
        </w:rPr>
        <w:t>Letto, confermato e sottoscritto</w:t>
      </w:r>
    </w:p>
    <w:p w14:paraId="7DFFB719" w14:textId="5620485F" w:rsidR="00E02B36" w:rsidRPr="0056740B" w:rsidRDefault="00E02B36" w:rsidP="00CC60C7">
      <w:pPr>
        <w:spacing w:after="0" w:line="360" w:lineRule="auto"/>
        <w:jc w:val="both"/>
        <w:rPr>
          <w:rFonts w:ascii="Tahoma" w:eastAsia="Times New Roman" w:hAnsi="Tahoma" w:cs="Tahoma"/>
          <w:b/>
          <w:sz w:val="20"/>
          <w:szCs w:val="20"/>
        </w:rPr>
      </w:pPr>
    </w:p>
    <w:p w14:paraId="3F004419" w14:textId="0172B61B" w:rsidR="00017591" w:rsidRPr="0056740B" w:rsidRDefault="00017591" w:rsidP="00CC60C7">
      <w:pPr>
        <w:spacing w:after="0" w:line="360" w:lineRule="auto"/>
        <w:jc w:val="both"/>
        <w:rPr>
          <w:rFonts w:ascii="Tahoma" w:eastAsia="Times New Roman" w:hAnsi="Tahoma" w:cs="Tahoma"/>
          <w:bCs/>
          <w:sz w:val="20"/>
          <w:szCs w:val="20"/>
        </w:rPr>
      </w:pPr>
      <w:r w:rsidRPr="0056740B">
        <w:rPr>
          <w:rFonts w:ascii="Tahoma" w:eastAsia="Times New Roman" w:hAnsi="Tahoma" w:cs="Tahoma"/>
          <w:bCs/>
          <w:sz w:val="20"/>
          <w:szCs w:val="20"/>
        </w:rPr>
        <w:t xml:space="preserve">Per la Comunità Montana                                                                       Per il Comune di </w:t>
      </w:r>
      <w:r w:rsidR="008D0DA4">
        <w:rPr>
          <w:rFonts w:ascii="Tahoma" w:eastAsia="Times New Roman" w:hAnsi="Tahoma" w:cs="Tahoma"/>
          <w:bCs/>
          <w:sz w:val="20"/>
          <w:szCs w:val="20"/>
        </w:rPr>
        <w:t>Aritzo</w:t>
      </w:r>
      <w:r w:rsidRPr="0056740B">
        <w:rPr>
          <w:rFonts w:ascii="Tahoma" w:eastAsia="Times New Roman" w:hAnsi="Tahoma" w:cs="Tahoma"/>
          <w:bCs/>
          <w:sz w:val="20"/>
          <w:szCs w:val="20"/>
        </w:rPr>
        <w:t xml:space="preserve">                                              </w:t>
      </w:r>
    </w:p>
    <w:p w14:paraId="44F7BD7F" w14:textId="66D5A477" w:rsidR="00017591" w:rsidRPr="0056740B" w:rsidRDefault="00017591" w:rsidP="00CC60C7">
      <w:pPr>
        <w:spacing w:after="0" w:line="360" w:lineRule="auto"/>
        <w:jc w:val="both"/>
        <w:rPr>
          <w:rFonts w:ascii="Tahoma" w:eastAsia="Times New Roman" w:hAnsi="Tahoma" w:cs="Tahoma"/>
          <w:bCs/>
          <w:sz w:val="20"/>
          <w:szCs w:val="20"/>
        </w:rPr>
      </w:pPr>
      <w:r w:rsidRPr="0056740B">
        <w:rPr>
          <w:rFonts w:ascii="Tahoma" w:eastAsia="Times New Roman" w:hAnsi="Tahoma" w:cs="Tahoma"/>
          <w:bCs/>
          <w:sz w:val="20"/>
          <w:szCs w:val="20"/>
        </w:rPr>
        <w:t xml:space="preserve">Il Presidente Alessandro Corona                                                            Il Sindaco </w:t>
      </w:r>
      <w:r w:rsidR="008D0DA4">
        <w:rPr>
          <w:rFonts w:ascii="Tahoma" w:eastAsia="Times New Roman" w:hAnsi="Tahoma" w:cs="Tahoma"/>
          <w:bCs/>
          <w:sz w:val="20"/>
          <w:szCs w:val="20"/>
        </w:rPr>
        <w:t>Paolo Fontana</w:t>
      </w:r>
    </w:p>
    <w:p w14:paraId="2F853BF4" w14:textId="5CF2962B" w:rsidR="00E02B36" w:rsidRPr="0056740B" w:rsidRDefault="00017591" w:rsidP="00CC60C7">
      <w:pPr>
        <w:spacing w:after="0" w:line="360" w:lineRule="auto"/>
        <w:jc w:val="both"/>
        <w:rPr>
          <w:rFonts w:ascii="Tahoma" w:eastAsia="Times New Roman" w:hAnsi="Tahoma" w:cs="Tahoma"/>
          <w:bCs/>
          <w:sz w:val="20"/>
          <w:szCs w:val="20"/>
        </w:rPr>
      </w:pPr>
      <w:r w:rsidRPr="0056740B">
        <w:rPr>
          <w:rFonts w:ascii="Tahoma" w:eastAsia="Times New Roman" w:hAnsi="Tahoma" w:cs="Tahoma"/>
          <w:bCs/>
          <w:sz w:val="20"/>
          <w:szCs w:val="20"/>
        </w:rPr>
        <w:t xml:space="preserve"> __________________________________                                           ___________________________</w:t>
      </w:r>
    </w:p>
    <w:p w14:paraId="04B8C0E8" w14:textId="3ECD2F37" w:rsidR="00017591" w:rsidRPr="0056740B" w:rsidRDefault="00017591" w:rsidP="00CC60C7">
      <w:pPr>
        <w:spacing w:after="0" w:line="360" w:lineRule="auto"/>
        <w:jc w:val="both"/>
        <w:rPr>
          <w:rFonts w:ascii="Tahoma" w:eastAsia="Times New Roman" w:hAnsi="Tahoma" w:cs="Tahoma"/>
          <w:bCs/>
          <w:sz w:val="20"/>
          <w:szCs w:val="20"/>
        </w:rPr>
      </w:pPr>
    </w:p>
    <w:p w14:paraId="60992DE4" w14:textId="55E9C666" w:rsidR="00017591" w:rsidRPr="0056740B" w:rsidRDefault="00017591" w:rsidP="00CC60C7">
      <w:pPr>
        <w:spacing w:after="0" w:line="360" w:lineRule="auto"/>
        <w:jc w:val="both"/>
        <w:rPr>
          <w:rFonts w:ascii="Tahoma" w:eastAsia="Times New Roman" w:hAnsi="Tahoma" w:cs="Tahoma"/>
          <w:bCs/>
          <w:sz w:val="20"/>
          <w:szCs w:val="20"/>
        </w:rPr>
      </w:pPr>
    </w:p>
    <w:p w14:paraId="02D3B70A" w14:textId="0F21BCDF" w:rsidR="00E02B36" w:rsidRPr="0056740B" w:rsidRDefault="00E02B36" w:rsidP="00CC60C7">
      <w:pPr>
        <w:spacing w:after="0" w:line="360" w:lineRule="auto"/>
        <w:jc w:val="both"/>
        <w:rPr>
          <w:rFonts w:ascii="Tahoma" w:eastAsia="Times New Roman" w:hAnsi="Tahoma" w:cs="Tahoma"/>
          <w:b/>
          <w:sz w:val="20"/>
          <w:szCs w:val="20"/>
        </w:rPr>
      </w:pPr>
    </w:p>
    <w:p w14:paraId="1C57805F" w14:textId="77777777" w:rsidR="00E02B36" w:rsidRPr="0056740B" w:rsidRDefault="00E02B36" w:rsidP="00CC60C7">
      <w:pPr>
        <w:spacing w:after="0" w:line="360" w:lineRule="auto"/>
        <w:jc w:val="both"/>
        <w:rPr>
          <w:rFonts w:ascii="Tahoma" w:eastAsia="Times New Roman" w:hAnsi="Tahoma" w:cs="Tahoma"/>
          <w:b/>
          <w:sz w:val="20"/>
          <w:szCs w:val="20"/>
        </w:rPr>
      </w:pPr>
    </w:p>
    <w:p w14:paraId="0000001F" w14:textId="77777777" w:rsidR="00B8793A" w:rsidRPr="0056740B" w:rsidRDefault="00B8793A" w:rsidP="00CC60C7">
      <w:pPr>
        <w:spacing w:after="0" w:line="360" w:lineRule="auto"/>
        <w:jc w:val="both"/>
        <w:rPr>
          <w:rFonts w:ascii="Tahoma" w:eastAsia="Times New Roman" w:hAnsi="Tahoma" w:cs="Tahoma"/>
          <w:sz w:val="20"/>
          <w:szCs w:val="20"/>
          <w:highlight w:val="yellow"/>
        </w:rPr>
      </w:pPr>
    </w:p>
    <w:sectPr w:rsidR="00B8793A" w:rsidRPr="0056740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0C4"/>
    <w:multiLevelType w:val="hybridMultilevel"/>
    <w:tmpl w:val="73BEB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610877"/>
    <w:multiLevelType w:val="hybridMultilevel"/>
    <w:tmpl w:val="02B41E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6D29B0"/>
    <w:multiLevelType w:val="hybridMultilevel"/>
    <w:tmpl w:val="1828F6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8B393F"/>
    <w:multiLevelType w:val="hybridMultilevel"/>
    <w:tmpl w:val="DEB8C2D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E415B6"/>
    <w:multiLevelType w:val="hybridMultilevel"/>
    <w:tmpl w:val="2AEC13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EEB6340"/>
    <w:multiLevelType w:val="hybridMultilevel"/>
    <w:tmpl w:val="15466C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B213AEB"/>
    <w:multiLevelType w:val="hybridMultilevel"/>
    <w:tmpl w:val="01A2F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8529F3"/>
    <w:multiLevelType w:val="hybridMultilevel"/>
    <w:tmpl w:val="02B41E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14C69EE"/>
    <w:multiLevelType w:val="hybridMultilevel"/>
    <w:tmpl w:val="466AC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DE6FD7"/>
    <w:multiLevelType w:val="hybridMultilevel"/>
    <w:tmpl w:val="E15636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A757B5A"/>
    <w:multiLevelType w:val="hybridMultilevel"/>
    <w:tmpl w:val="DB1EB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DF3D95"/>
    <w:multiLevelType w:val="hybridMultilevel"/>
    <w:tmpl w:val="833E8A9C"/>
    <w:lvl w:ilvl="0" w:tplc="5C022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BD7CB8"/>
    <w:multiLevelType w:val="hybridMultilevel"/>
    <w:tmpl w:val="F92CD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7051DF"/>
    <w:multiLevelType w:val="hybridMultilevel"/>
    <w:tmpl w:val="6F68846E"/>
    <w:lvl w:ilvl="0" w:tplc="551A254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1"/>
  </w:num>
  <w:num w:numId="6">
    <w:abstractNumId w:val="5"/>
  </w:num>
  <w:num w:numId="7">
    <w:abstractNumId w:val="9"/>
  </w:num>
  <w:num w:numId="8">
    <w:abstractNumId w:val="3"/>
  </w:num>
  <w:num w:numId="9">
    <w:abstractNumId w:val="2"/>
  </w:num>
  <w:num w:numId="10">
    <w:abstractNumId w:val="4"/>
  </w:num>
  <w:num w:numId="11">
    <w:abstractNumId w:val="7"/>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3A"/>
    <w:rsid w:val="00016F61"/>
    <w:rsid w:val="00017591"/>
    <w:rsid w:val="00020E57"/>
    <w:rsid w:val="000269F3"/>
    <w:rsid w:val="00030D97"/>
    <w:rsid w:val="00041A2D"/>
    <w:rsid w:val="00094109"/>
    <w:rsid w:val="000E193F"/>
    <w:rsid w:val="000E4C97"/>
    <w:rsid w:val="00166E58"/>
    <w:rsid w:val="0018018B"/>
    <w:rsid w:val="001C0C24"/>
    <w:rsid w:val="001C2A95"/>
    <w:rsid w:val="001E3CE4"/>
    <w:rsid w:val="00215972"/>
    <w:rsid w:val="002208FE"/>
    <w:rsid w:val="00232D26"/>
    <w:rsid w:val="002478D8"/>
    <w:rsid w:val="00263192"/>
    <w:rsid w:val="002833ED"/>
    <w:rsid w:val="00297539"/>
    <w:rsid w:val="00297F2B"/>
    <w:rsid w:val="002A5A14"/>
    <w:rsid w:val="002B0718"/>
    <w:rsid w:val="002D0983"/>
    <w:rsid w:val="002E7DC1"/>
    <w:rsid w:val="00333A78"/>
    <w:rsid w:val="003801A9"/>
    <w:rsid w:val="003964DF"/>
    <w:rsid w:val="004563BF"/>
    <w:rsid w:val="0046541E"/>
    <w:rsid w:val="0049245B"/>
    <w:rsid w:val="00492D31"/>
    <w:rsid w:val="004C2CBE"/>
    <w:rsid w:val="004C78B8"/>
    <w:rsid w:val="004F3AF3"/>
    <w:rsid w:val="00515CFF"/>
    <w:rsid w:val="005160FC"/>
    <w:rsid w:val="00520733"/>
    <w:rsid w:val="0054097A"/>
    <w:rsid w:val="005451CE"/>
    <w:rsid w:val="00554D68"/>
    <w:rsid w:val="0056740B"/>
    <w:rsid w:val="00574069"/>
    <w:rsid w:val="005B5B87"/>
    <w:rsid w:val="005C06A0"/>
    <w:rsid w:val="005C3BC6"/>
    <w:rsid w:val="00605365"/>
    <w:rsid w:val="006056F0"/>
    <w:rsid w:val="0063150F"/>
    <w:rsid w:val="00657E56"/>
    <w:rsid w:val="006A3251"/>
    <w:rsid w:val="006C1186"/>
    <w:rsid w:val="007138F1"/>
    <w:rsid w:val="00732A91"/>
    <w:rsid w:val="00787364"/>
    <w:rsid w:val="007A374A"/>
    <w:rsid w:val="007A43CC"/>
    <w:rsid w:val="007F7FB1"/>
    <w:rsid w:val="00804294"/>
    <w:rsid w:val="00822A77"/>
    <w:rsid w:val="00883743"/>
    <w:rsid w:val="0089560A"/>
    <w:rsid w:val="008A797A"/>
    <w:rsid w:val="008B025E"/>
    <w:rsid w:val="008D0DA4"/>
    <w:rsid w:val="00971784"/>
    <w:rsid w:val="009A4B04"/>
    <w:rsid w:val="009D697D"/>
    <w:rsid w:val="009E21D7"/>
    <w:rsid w:val="009E7B7A"/>
    <w:rsid w:val="009F0B83"/>
    <w:rsid w:val="00A11692"/>
    <w:rsid w:val="00A94B63"/>
    <w:rsid w:val="00AD6D6F"/>
    <w:rsid w:val="00AF6BC5"/>
    <w:rsid w:val="00B01A38"/>
    <w:rsid w:val="00B02BD4"/>
    <w:rsid w:val="00B064AD"/>
    <w:rsid w:val="00B11FD6"/>
    <w:rsid w:val="00B126C5"/>
    <w:rsid w:val="00B25890"/>
    <w:rsid w:val="00B36FA6"/>
    <w:rsid w:val="00B8793A"/>
    <w:rsid w:val="00BD17AF"/>
    <w:rsid w:val="00BE3D86"/>
    <w:rsid w:val="00C1075D"/>
    <w:rsid w:val="00C157B0"/>
    <w:rsid w:val="00C6410A"/>
    <w:rsid w:val="00C645AA"/>
    <w:rsid w:val="00C85C88"/>
    <w:rsid w:val="00C92A00"/>
    <w:rsid w:val="00CC60C7"/>
    <w:rsid w:val="00D57A8A"/>
    <w:rsid w:val="00DB29DA"/>
    <w:rsid w:val="00DD6EE3"/>
    <w:rsid w:val="00DE00E1"/>
    <w:rsid w:val="00E02B36"/>
    <w:rsid w:val="00E16062"/>
    <w:rsid w:val="00E2010C"/>
    <w:rsid w:val="00E37F98"/>
    <w:rsid w:val="00E46A8A"/>
    <w:rsid w:val="00E94453"/>
    <w:rsid w:val="00ED0035"/>
    <w:rsid w:val="00EE78B9"/>
    <w:rsid w:val="00F26981"/>
    <w:rsid w:val="00F60530"/>
    <w:rsid w:val="00FC3CA9"/>
    <w:rsid w:val="00FF5C11"/>
    <w:rsid w:val="00FF5CDE"/>
    <w:rsid w:val="00FF7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297F2B"/>
    <w:pPr>
      <w:spacing w:after="120" w:line="240" w:lineRule="auto"/>
      <w:ind w:left="720"/>
      <w:contextualSpacing/>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297F2B"/>
    <w:pPr>
      <w:spacing w:after="120" w:line="240" w:lineRule="auto"/>
      <w:ind w:left="720"/>
      <w:contextualSpacing/>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Buttari</dc:creator>
  <cp:lastModifiedBy>Roberto Erdas</cp:lastModifiedBy>
  <cp:revision>2</cp:revision>
  <cp:lastPrinted>2022-09-13T08:50:00Z</cp:lastPrinted>
  <dcterms:created xsi:type="dcterms:W3CDTF">2022-11-03T10:52:00Z</dcterms:created>
  <dcterms:modified xsi:type="dcterms:W3CDTF">2022-11-03T10:52:00Z</dcterms:modified>
</cp:coreProperties>
</file>